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16749856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3A6CEA">
        <w:rPr>
          <w:rFonts w:ascii="Arial" w:hAnsi="Arial" w:cs="Arial"/>
          <w:b/>
          <w:sz w:val="20"/>
          <w:szCs w:val="20"/>
        </w:rPr>
        <w:t xml:space="preserve">ID#: </w:t>
      </w:r>
      <w:r w:rsidR="003A6CEA" w:rsidRPr="003A6CEA">
        <w:rPr>
          <w:rFonts w:ascii="Arial" w:hAnsi="Arial" w:cs="Arial"/>
          <w:b/>
          <w:sz w:val="20"/>
          <w:szCs w:val="20"/>
        </w:rPr>
        <w:t>DIS011-</w:t>
      </w:r>
      <w:r w:rsidR="00CF6D47">
        <w:rPr>
          <w:rFonts w:ascii="Arial" w:hAnsi="Arial" w:cs="Arial"/>
          <w:b/>
          <w:sz w:val="20"/>
          <w:szCs w:val="20"/>
        </w:rPr>
        <w:t>F</w:t>
      </w:r>
    </w:p>
    <w:p w14:paraId="43C4601B" w14:textId="77777777" w:rsidR="003C763B" w:rsidRDefault="00EA35B6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64AEE5C8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r w:rsidR="00012539">
        <w:rPr>
          <w:rFonts w:ascii="Arial" w:eastAsia="Calibri" w:hAnsi="Arial" w:cs="Arial"/>
          <w:b/>
          <w:iCs/>
          <w:sz w:val="36"/>
          <w:szCs w:val="36"/>
        </w:rPr>
        <w:t xml:space="preserve">Moving Company with Diversity in Corporate, Military, And Residential Packing, Hauling, or Storing </w:t>
      </w:r>
    </w:p>
    <w:p w14:paraId="62CD981B" w14:textId="4CEDB3D9" w:rsidR="006562BE" w:rsidRPr="005B4017" w:rsidRDefault="005B4017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r w:rsidRPr="005B4017">
        <w:rPr>
          <w:rFonts w:ascii="Arial" w:eastAsia="Calibri" w:hAnsi="Arial" w:cs="Arial"/>
          <w:bCs/>
          <w:i/>
          <w:color w:val="595959"/>
          <w:sz w:val="28"/>
          <w:szCs w:val="20"/>
        </w:rPr>
        <w:t>20+ Years Established with Over 10 Locations!</w:t>
      </w:r>
    </w:p>
    <w:p w14:paraId="4B565C68" w14:textId="77777777" w:rsidR="00ED4DAB" w:rsidRPr="005B4017" w:rsidRDefault="00ED4DAB" w:rsidP="00580B36">
      <w:pPr>
        <w:tabs>
          <w:tab w:val="left" w:pos="7920"/>
        </w:tabs>
        <w:spacing w:after="0" w:line="240" w:lineRule="auto"/>
        <w:jc w:val="center"/>
        <w:rPr>
          <w:b/>
          <w:sz w:val="14"/>
          <w:szCs w:val="1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360"/>
        <w:gridCol w:w="5040"/>
      </w:tblGrid>
      <w:tr w:rsidR="00580B36" w14:paraId="19DAF3D9" w14:textId="77777777" w:rsidTr="005B4017">
        <w:trPr>
          <w:trHeight w:hRule="exact" w:val="3573"/>
        </w:trPr>
        <w:tc>
          <w:tcPr>
            <w:tcW w:w="540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31857A5B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CF3B1C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2</w:t>
            </w:r>
            <w:r w:rsidR="00CF6D47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6,0</w:t>
            </w:r>
            <w:r w:rsidR="00CF3B1C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00</w:t>
            </w:r>
            <w:r w:rsidR="00ED4DAB" w:rsidRPr="00ED4DAB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539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350"/>
              <w:gridCol w:w="1350"/>
              <w:gridCol w:w="1350"/>
            </w:tblGrid>
            <w:tr w:rsidR="00055210" w:rsidRPr="00580B36" w14:paraId="3ED3829C" w14:textId="5A73CFC5" w:rsidTr="003A5FF6">
              <w:tc>
                <w:tcPr>
                  <w:tcW w:w="1345" w:type="dxa"/>
                  <w:shd w:val="clear" w:color="auto" w:fill="55274E"/>
                </w:tcPr>
                <w:p w14:paraId="2D44B8CB" w14:textId="14E5D97E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2022 Project</w:t>
                  </w:r>
                  <w:r w:rsidR="003A5FF6" w:rsidRPr="003A5FF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ed</w:t>
                  </w:r>
                </w:p>
              </w:tc>
              <w:tc>
                <w:tcPr>
                  <w:tcW w:w="1350" w:type="dxa"/>
                  <w:shd w:val="clear" w:color="auto" w:fill="55274E"/>
                </w:tcPr>
                <w:p w14:paraId="58CD3C6A" w14:textId="6660DE80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50" w:type="dxa"/>
                  <w:shd w:val="clear" w:color="auto" w:fill="55274E"/>
                </w:tcPr>
                <w:p w14:paraId="5493A2A5" w14:textId="634DE6C0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50" w:type="dxa"/>
                  <w:shd w:val="clear" w:color="auto" w:fill="55274E"/>
                </w:tcPr>
                <w:p w14:paraId="27F6A810" w14:textId="455A34C5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2019</w:t>
                  </w:r>
                </w:p>
              </w:tc>
            </w:tr>
            <w:tr w:rsidR="00055210" w:rsidRPr="00580B36" w14:paraId="2EC9B8E0" w14:textId="3C9A2C14" w:rsidTr="003A5FF6">
              <w:tc>
                <w:tcPr>
                  <w:tcW w:w="1345" w:type="dxa"/>
                </w:tcPr>
                <w:p w14:paraId="72C0CDDD" w14:textId="3F724FE4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$31,000,000</w:t>
                  </w:r>
                </w:p>
              </w:tc>
              <w:tc>
                <w:tcPr>
                  <w:tcW w:w="1350" w:type="dxa"/>
                </w:tcPr>
                <w:p w14:paraId="53467F60" w14:textId="40720F46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$28,242,159</w:t>
                  </w:r>
                </w:p>
              </w:tc>
              <w:tc>
                <w:tcPr>
                  <w:tcW w:w="1350" w:type="dxa"/>
                </w:tcPr>
                <w:p w14:paraId="52916482" w14:textId="16116DF8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$24,680,447</w:t>
                  </w:r>
                </w:p>
              </w:tc>
              <w:tc>
                <w:tcPr>
                  <w:tcW w:w="1350" w:type="dxa"/>
                </w:tcPr>
                <w:p w14:paraId="0199D2F0" w14:textId="6E895257" w:rsidR="00055210" w:rsidRPr="003A5FF6" w:rsidRDefault="00055210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A5FF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$23,716,732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170"/>
              <w:gridCol w:w="1170"/>
              <w:gridCol w:w="1170"/>
            </w:tblGrid>
            <w:tr w:rsidR="00055210" w:rsidRPr="00580B36" w14:paraId="2F2EAF70" w14:textId="607AD3E5" w:rsidTr="003A5FF6">
              <w:trPr>
                <w:trHeight w:val="263"/>
              </w:trPr>
              <w:tc>
                <w:tcPr>
                  <w:tcW w:w="1255" w:type="dxa"/>
                  <w:shd w:val="clear" w:color="auto" w:fill="55274E"/>
                </w:tcPr>
                <w:p w14:paraId="7B33F2BB" w14:textId="7075A286" w:rsidR="00055210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2022 Project</w:t>
                  </w:r>
                  <w:r w:rsidR="00352DCE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170" w:type="dxa"/>
                  <w:shd w:val="clear" w:color="auto" w:fill="55274E"/>
                </w:tcPr>
                <w:p w14:paraId="291BEBB8" w14:textId="7E220C04" w:rsidR="00055210" w:rsidRPr="00580B36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70" w:type="dxa"/>
                  <w:shd w:val="clear" w:color="auto" w:fill="55274E"/>
                </w:tcPr>
                <w:p w14:paraId="34622BD0" w14:textId="170396B6" w:rsidR="00055210" w:rsidRPr="00580B36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70" w:type="dxa"/>
                  <w:shd w:val="clear" w:color="auto" w:fill="55274E"/>
                </w:tcPr>
                <w:p w14:paraId="631FE416" w14:textId="711E88B4" w:rsidR="00055210" w:rsidRPr="00580B36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2019</w:t>
                  </w:r>
                </w:p>
              </w:tc>
            </w:tr>
            <w:tr w:rsidR="00055210" w:rsidRPr="00580B36" w14:paraId="6AD1BB7E" w14:textId="597E0F69" w:rsidTr="003A5FF6">
              <w:trPr>
                <w:trHeight w:val="247"/>
              </w:trPr>
              <w:tc>
                <w:tcPr>
                  <w:tcW w:w="1255" w:type="dxa"/>
                </w:tcPr>
                <w:p w14:paraId="319B541F" w14:textId="6E8B0534" w:rsidR="00055210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$4,340</w:t>
                  </w:r>
                  <w:r w:rsidR="003A5FF6">
                    <w:rPr>
                      <w:rFonts w:ascii="Arial" w:hAnsi="Arial" w:cs="Arial"/>
                      <w:iCs/>
                      <w:sz w:val="19"/>
                      <w:szCs w:val="19"/>
                    </w:rPr>
                    <w:t>,000</w:t>
                  </w:r>
                </w:p>
              </w:tc>
              <w:tc>
                <w:tcPr>
                  <w:tcW w:w="1170" w:type="dxa"/>
                </w:tcPr>
                <w:p w14:paraId="2D0D1B01" w14:textId="12F3E4C0" w:rsidR="00055210" w:rsidRPr="005141C4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$3,911,587</w:t>
                  </w:r>
                </w:p>
              </w:tc>
              <w:tc>
                <w:tcPr>
                  <w:tcW w:w="1170" w:type="dxa"/>
                </w:tcPr>
                <w:p w14:paraId="33A7C9B6" w14:textId="0C67E127" w:rsidR="00055210" w:rsidRPr="005141C4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2,854,192</w:t>
                  </w:r>
                </w:p>
              </w:tc>
              <w:tc>
                <w:tcPr>
                  <w:tcW w:w="1170" w:type="dxa"/>
                </w:tcPr>
                <w:p w14:paraId="54220CCE" w14:textId="0604E7C2" w:rsidR="00055210" w:rsidRPr="005141C4" w:rsidRDefault="0005521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$1,916,466</w:t>
                  </w:r>
                </w:p>
              </w:tc>
            </w:tr>
          </w:tbl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0A97B838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83797A">
              <w:rPr>
                <w:rFonts w:ascii="Arial" w:hAnsi="Arial" w:cs="Arial"/>
                <w:iCs/>
                <w:sz w:val="16"/>
                <w:szCs w:val="16"/>
              </w:rPr>
              <w:t>202</w:t>
            </w:r>
            <w:r w:rsidR="00CF6D4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83797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Valuation</w:t>
            </w:r>
          </w:p>
          <w:p w14:paraId="198AC6DB" w14:textId="783453A3" w:rsid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$</w:t>
            </w:r>
            <w:r w:rsidR="003A5FF6">
              <w:rPr>
                <w:rFonts w:ascii="Arial" w:hAnsi="Arial" w:cs="Arial"/>
                <w:iCs/>
                <w:sz w:val="20"/>
                <w:szCs w:val="20"/>
              </w:rPr>
              <w:t>4,340,000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x   </w:t>
            </w:r>
            <w:r w:rsidR="003A5FF6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CF3B1C" w:rsidRPr="00CF3B1C">
              <w:rPr>
                <w:rFonts w:ascii="Arial" w:hAnsi="Arial" w:cs="Arial"/>
                <w:iCs/>
                <w:sz w:val="20"/>
                <w:szCs w:val="20"/>
              </w:rPr>
              <w:t xml:space="preserve">    =    $2</w:t>
            </w:r>
            <w:r w:rsidR="003A5FF6">
              <w:rPr>
                <w:rFonts w:ascii="Arial" w:hAnsi="Arial" w:cs="Arial"/>
                <w:iCs/>
                <w:sz w:val="20"/>
                <w:szCs w:val="20"/>
              </w:rPr>
              <w:t>6,040,000</w:t>
            </w:r>
          </w:p>
          <w:p w14:paraId="50F02ADC" w14:textId="77777777" w:rsidR="0083797A" w:rsidRDefault="0083797A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1D35A37" w14:textId="77777777" w:rsidR="0083797A" w:rsidRPr="005141C4" w:rsidRDefault="0083797A" w:rsidP="0083797A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0578A85D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CF3B1C">
              <w:rPr>
                <w:rFonts w:ascii="Arial" w:hAnsi="Arial" w:cs="Arial"/>
                <w:b/>
                <w:iCs/>
                <w:color w:val="55274E"/>
                <w:szCs w:val="20"/>
              </w:rPr>
              <w:t>2</w:t>
            </w:r>
            <w:r w:rsidR="00CF6D47">
              <w:rPr>
                <w:rFonts w:ascii="Arial" w:hAnsi="Arial" w:cs="Arial"/>
                <w:b/>
                <w:iCs/>
                <w:color w:val="55274E"/>
                <w:szCs w:val="20"/>
              </w:rPr>
              <w:t>6,0</w:t>
            </w:r>
            <w:r w:rsidR="00CF3B1C">
              <w:rPr>
                <w:rFonts w:ascii="Arial" w:hAnsi="Arial" w:cs="Arial"/>
                <w:b/>
                <w:iCs/>
                <w:color w:val="55274E"/>
                <w:szCs w:val="20"/>
              </w:rPr>
              <w:t>00</w:t>
            </w:r>
            <w:r w:rsidR="0083797A">
              <w:rPr>
                <w:rFonts w:ascii="Arial" w:hAnsi="Arial" w:cs="Arial"/>
                <w:b/>
                <w:iCs/>
                <w:color w:val="55274E"/>
                <w:szCs w:val="20"/>
              </w:rPr>
              <w:t>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1530"/>
            </w:tblGrid>
            <w:tr w:rsidR="00580B36" w:rsidRPr="00580B36" w14:paraId="6C73C9BD" w14:textId="77777777" w:rsidTr="005B4017">
              <w:trPr>
                <w:jc w:val="center"/>
              </w:trPr>
              <w:tc>
                <w:tcPr>
                  <w:tcW w:w="3150" w:type="dxa"/>
                  <w:shd w:val="clear" w:color="auto" w:fill="auto"/>
                </w:tcPr>
                <w:p w14:paraId="616CD393" w14:textId="234375E2" w:rsidR="00580B36" w:rsidRPr="005141C4" w:rsidRDefault="0083797A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10% Seller Financing</w:t>
                  </w:r>
                </w:p>
              </w:tc>
              <w:tc>
                <w:tcPr>
                  <w:tcW w:w="1530" w:type="dxa"/>
                </w:tcPr>
                <w:p w14:paraId="26FDAA1C" w14:textId="7466C1CB" w:rsidR="00580B36" w:rsidRPr="001F3977" w:rsidRDefault="00CF3B1C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$2,</w:t>
                  </w:r>
                  <w:r w:rsidR="00CF6D4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580B36" w:rsidRPr="00580B36" w14:paraId="21E09DF9" w14:textId="77777777" w:rsidTr="005B4017">
              <w:trPr>
                <w:jc w:val="center"/>
              </w:trPr>
              <w:tc>
                <w:tcPr>
                  <w:tcW w:w="3150" w:type="dxa"/>
                  <w:shd w:val="clear" w:color="auto" w:fill="auto"/>
                </w:tcPr>
                <w:p w14:paraId="310F4222" w14:textId="2BC0E670" w:rsidR="00580B36" w:rsidRPr="005141C4" w:rsidRDefault="0083797A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1</w:t>
                  </w:r>
                  <w:r w:rsidR="00CF6D47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 Equity Roll</w:t>
                  </w:r>
                </w:p>
              </w:tc>
              <w:tc>
                <w:tcPr>
                  <w:tcW w:w="1530" w:type="dxa"/>
                </w:tcPr>
                <w:p w14:paraId="3168F08A" w14:textId="3DAE4286" w:rsidR="00580B36" w:rsidRPr="001F3977" w:rsidRDefault="00CF3B1C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F6D4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3,900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  <w:tr w:rsidR="00580B36" w:rsidRPr="00580B36" w14:paraId="6515A51A" w14:textId="77777777" w:rsidTr="005B4017">
              <w:trPr>
                <w:jc w:val="center"/>
              </w:trPr>
              <w:tc>
                <w:tcPr>
                  <w:tcW w:w="3150" w:type="dxa"/>
                  <w:shd w:val="clear" w:color="auto" w:fill="auto"/>
                </w:tcPr>
                <w:p w14:paraId="41192A01" w14:textId="40B3E42C" w:rsidR="00580B36" w:rsidRPr="005141C4" w:rsidRDefault="00CF6D47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75</w:t>
                  </w:r>
                  <w:r w:rsidR="0083797A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and Lender</w:t>
                  </w:r>
                </w:p>
              </w:tc>
              <w:tc>
                <w:tcPr>
                  <w:tcW w:w="1530" w:type="dxa"/>
                </w:tcPr>
                <w:p w14:paraId="7D6D4C50" w14:textId="0258C3B4" w:rsidR="00580B36" w:rsidRPr="001F3977" w:rsidRDefault="00CF3B1C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CF6D4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19,5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00,000</w:t>
                  </w:r>
                </w:p>
              </w:tc>
            </w:tr>
          </w:tbl>
          <w:p w14:paraId="632551DC" w14:textId="1BE184E9" w:rsidR="00580B36" w:rsidRPr="007250D8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0" w:name="_Hlk51246875"/>
          </w:p>
          <w:p w14:paraId="0B8B4398" w14:textId="43502A94" w:rsidR="0083797A" w:rsidRPr="005B4017" w:rsidRDefault="00CF3B1C" w:rsidP="005B4017">
            <w:pPr>
              <w:pStyle w:val="BodyText"/>
              <w:spacing w:line="276" w:lineRule="auto"/>
              <w:rPr>
                <w:b w:val="0"/>
                <w:i w:val="0"/>
                <w:sz w:val="20"/>
                <w:szCs w:val="20"/>
              </w:rPr>
            </w:pPr>
            <w:bookmarkStart w:id="1" w:name="_Hlk114647107"/>
            <w:bookmarkEnd w:id="0"/>
            <w:r w:rsidRPr="005B4017">
              <w:rPr>
                <w:b w:val="0"/>
                <w:i w:val="0"/>
                <w:sz w:val="20"/>
                <w:szCs w:val="20"/>
              </w:rPr>
              <w:t>Th</w:t>
            </w:r>
            <w:r w:rsidR="00DF32F5" w:rsidRPr="005B4017">
              <w:rPr>
                <w:b w:val="0"/>
                <w:i w:val="0"/>
                <w:sz w:val="20"/>
                <w:szCs w:val="20"/>
              </w:rPr>
              <w:t xml:space="preserve">is moving company has been serving Oregon and Washington for 2 decades expanding in over 10 strategic locations. Their services range from office/business moving, contracted military moves, some residential; they also offer packing/crating and warehousing in their storage sites. Consistently growing between 5-10% in revenue is attributed to their very strong organization chart of a P.T. resident CFO, leadership </w:t>
            </w:r>
            <w:r w:rsidR="00C75B6A" w:rsidRPr="005B4017">
              <w:rPr>
                <w:b w:val="0"/>
                <w:i w:val="0"/>
                <w:sz w:val="20"/>
                <w:szCs w:val="20"/>
              </w:rPr>
              <w:t xml:space="preserve">team and regional managers. This allows for passive ownership with the current owner only needing to be present for 2 meetings per month as all of his roles have been absorbed for the last several years. Conservatively projecting $31,000,000 in revenue this year, they will earn 14% profit margin from the clear processes and procedures their divisions have in place. These include call centers, sales, marketing and IT, and drivers. </w:t>
            </w:r>
          </w:p>
          <w:p w14:paraId="610A197A" w14:textId="77777777" w:rsidR="00CF3B1C" w:rsidRPr="005B4017" w:rsidRDefault="00CF3B1C" w:rsidP="005B4017">
            <w:pPr>
              <w:pStyle w:val="BodyText"/>
              <w:spacing w:line="276" w:lineRule="auto"/>
              <w:rPr>
                <w:b w:val="0"/>
                <w:i w:val="0"/>
                <w:sz w:val="20"/>
                <w:szCs w:val="20"/>
              </w:rPr>
            </w:pPr>
          </w:p>
          <w:p w14:paraId="2DCC836F" w14:textId="69DFE0F4" w:rsidR="002D19EF" w:rsidRPr="00A70D48" w:rsidRDefault="0083797A" w:rsidP="005B4017">
            <w:pPr>
              <w:pStyle w:val="BodyText"/>
              <w:spacing w:line="276" w:lineRule="auto"/>
              <w:rPr>
                <w:b w:val="0"/>
                <w:i w:val="0"/>
                <w:sz w:val="19"/>
                <w:szCs w:val="19"/>
              </w:rPr>
            </w:pPr>
            <w:r w:rsidRPr="005B4017">
              <w:rPr>
                <w:b w:val="0"/>
                <w:i w:val="0"/>
                <w:sz w:val="20"/>
                <w:szCs w:val="20"/>
              </w:rPr>
              <w:t xml:space="preserve">The business has recently started </w:t>
            </w:r>
            <w:r w:rsidR="005B4017" w:rsidRPr="005B4017">
              <w:rPr>
                <w:b w:val="0"/>
                <w:i w:val="0"/>
                <w:sz w:val="20"/>
                <w:szCs w:val="20"/>
              </w:rPr>
              <w:t xml:space="preserve">a </w:t>
            </w:r>
            <w:r w:rsidRPr="005B4017">
              <w:rPr>
                <w:b w:val="0"/>
                <w:i w:val="0"/>
                <w:sz w:val="20"/>
                <w:szCs w:val="20"/>
              </w:rPr>
              <w:t xml:space="preserve">mobile </w:t>
            </w:r>
            <w:r w:rsidR="005B4017" w:rsidRPr="005B4017">
              <w:rPr>
                <w:b w:val="0"/>
                <w:i w:val="0"/>
                <w:sz w:val="20"/>
                <w:szCs w:val="20"/>
              </w:rPr>
              <w:t xml:space="preserve">pod </w:t>
            </w:r>
            <w:r w:rsidR="00A1567E" w:rsidRPr="005B4017">
              <w:rPr>
                <w:b w:val="0"/>
                <w:i w:val="0"/>
                <w:sz w:val="20"/>
                <w:szCs w:val="20"/>
              </w:rPr>
              <w:t>division</w:t>
            </w:r>
            <w:r w:rsidRPr="005B4017">
              <w:rPr>
                <w:b w:val="0"/>
                <w:i w:val="0"/>
                <w:sz w:val="20"/>
                <w:szCs w:val="20"/>
              </w:rPr>
              <w:t>, allowing them to provide further services to different types of clients and continue the overall growth.  Other opportunities include small, inexpensive acquisitions to expand the territory</w:t>
            </w:r>
            <w:r w:rsidR="00A1567E" w:rsidRPr="005B4017">
              <w:rPr>
                <w:b w:val="0"/>
                <w:i w:val="0"/>
                <w:sz w:val="20"/>
                <w:szCs w:val="20"/>
              </w:rPr>
              <w:t xml:space="preserve">, also </w:t>
            </w:r>
            <w:r w:rsidR="00A70D48" w:rsidRPr="005B4017">
              <w:rPr>
                <w:b w:val="0"/>
                <w:i w:val="0"/>
                <w:sz w:val="20"/>
                <w:szCs w:val="20"/>
              </w:rPr>
              <w:t>they are adding</w:t>
            </w:r>
            <w:r w:rsidRPr="005B4017">
              <w:rPr>
                <w:b w:val="0"/>
                <w:i w:val="0"/>
                <w:sz w:val="20"/>
                <w:szCs w:val="20"/>
              </w:rPr>
              <w:t xml:space="preserve"> server farm moving and hauling. </w:t>
            </w:r>
            <w:r w:rsidR="0092091B">
              <w:rPr>
                <w:b w:val="0"/>
                <w:i w:val="0"/>
                <w:sz w:val="20"/>
                <w:szCs w:val="20"/>
              </w:rPr>
              <w:t>With their excellent reputation as well as their existing client base and locations they have a service area spanning across local, interstate, and international clients.</w:t>
            </w:r>
            <w:r w:rsidRPr="005B4017">
              <w:rPr>
                <w:b w:val="0"/>
                <w:i w:val="0"/>
                <w:sz w:val="20"/>
                <w:szCs w:val="20"/>
              </w:rPr>
              <w:t xml:space="preserve"> At a purchase price of </w:t>
            </w:r>
            <w:r w:rsidRPr="00FC46F7">
              <w:rPr>
                <w:bCs/>
                <w:i w:val="0"/>
                <w:color w:val="55274E"/>
                <w:sz w:val="20"/>
                <w:szCs w:val="20"/>
              </w:rPr>
              <w:t>$2</w:t>
            </w:r>
            <w:r w:rsidR="005B4017" w:rsidRPr="00FC46F7">
              <w:rPr>
                <w:bCs/>
                <w:i w:val="0"/>
                <w:color w:val="55274E"/>
                <w:sz w:val="20"/>
                <w:szCs w:val="20"/>
              </w:rPr>
              <w:t>6,00</w:t>
            </w:r>
            <w:r w:rsidRPr="00FC46F7">
              <w:rPr>
                <w:bCs/>
                <w:i w:val="0"/>
                <w:color w:val="55274E"/>
                <w:sz w:val="20"/>
                <w:szCs w:val="20"/>
              </w:rPr>
              <w:t>0,000</w:t>
            </w:r>
            <w:r w:rsidRPr="005B4017">
              <w:rPr>
                <w:b w:val="0"/>
                <w:i w:val="0"/>
                <w:sz w:val="20"/>
                <w:szCs w:val="20"/>
              </w:rPr>
              <w:t xml:space="preserve">, </w:t>
            </w:r>
            <w:r w:rsidR="00A70D48" w:rsidRPr="005B4017">
              <w:rPr>
                <w:b w:val="0"/>
                <w:i w:val="0"/>
                <w:sz w:val="20"/>
                <w:szCs w:val="20"/>
              </w:rPr>
              <w:t>t</w:t>
            </w:r>
            <w:r w:rsidRPr="005B4017">
              <w:rPr>
                <w:b w:val="0"/>
                <w:i w:val="0"/>
                <w:sz w:val="20"/>
                <w:szCs w:val="20"/>
              </w:rPr>
              <w:t>here is an option for the seller to not only provide a 10% seller carry, but to also retain 1</w:t>
            </w:r>
            <w:r w:rsidR="005B4017" w:rsidRPr="005B4017">
              <w:rPr>
                <w:b w:val="0"/>
                <w:i w:val="0"/>
                <w:sz w:val="20"/>
                <w:szCs w:val="20"/>
              </w:rPr>
              <w:t>5</w:t>
            </w:r>
            <w:r w:rsidRPr="005B4017">
              <w:rPr>
                <w:b w:val="0"/>
                <w:i w:val="0"/>
                <w:sz w:val="20"/>
                <w:szCs w:val="20"/>
              </w:rPr>
              <w:t>% in equity if desired.</w:t>
            </w:r>
            <w:r w:rsidR="005B4017" w:rsidRPr="005B4017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5B4017">
              <w:rPr>
                <w:b w:val="0"/>
                <w:i w:val="0"/>
                <w:sz w:val="20"/>
                <w:szCs w:val="20"/>
              </w:rPr>
              <w:t>This is being done to show the vested interest in the ongoing success of the business post-close.</w:t>
            </w:r>
            <w:r w:rsidRPr="005B4017">
              <w:rPr>
                <w:bCs/>
                <w:iCs/>
                <w:sz w:val="20"/>
                <w:szCs w:val="20"/>
              </w:rPr>
              <w:t xml:space="preserve">  </w:t>
            </w:r>
            <w:bookmarkEnd w:id="1"/>
          </w:p>
        </w:tc>
      </w:tr>
      <w:tr w:rsidR="00580B36" w14:paraId="2F03E857" w14:textId="77777777" w:rsidTr="005B4017">
        <w:trPr>
          <w:trHeight w:val="2250"/>
        </w:trPr>
        <w:tc>
          <w:tcPr>
            <w:tcW w:w="540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00B74EAA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83797A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10,444,018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5267BDEA" w14:textId="7777777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Vehicles/FF&amp;E</w:t>
            </w:r>
            <w:r w:rsidRPr="0083797A">
              <w:rPr>
                <w:rFonts w:ascii="Arial" w:hAnsi="Arial" w:cs="Arial"/>
                <w:iCs/>
                <w:sz w:val="19"/>
                <w:szCs w:val="19"/>
              </w:rPr>
              <w:t xml:space="preserve">:  </w:t>
            </w:r>
            <w:bookmarkStart w:id="2" w:name="_Hlk43821749"/>
            <w:r w:rsidRPr="0083797A">
              <w:rPr>
                <w:rFonts w:ascii="Arial" w:hAnsi="Arial" w:cs="Arial"/>
                <w:iCs/>
                <w:sz w:val="19"/>
                <w:szCs w:val="19"/>
              </w:rPr>
              <w:t>$</w:t>
            </w:r>
            <w:bookmarkEnd w:id="2"/>
            <w:r w:rsidRPr="0083797A">
              <w:rPr>
                <w:rFonts w:ascii="Arial" w:hAnsi="Arial" w:cs="Arial"/>
                <w:iCs/>
                <w:sz w:val="19"/>
                <w:szCs w:val="19"/>
              </w:rPr>
              <w:t>7,598,997</w:t>
            </w:r>
          </w:p>
          <w:p w14:paraId="70ED9664" w14:textId="4F58E9D3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W</w:t>
            </w:r>
            <w:r w:rsidR="00EA35B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orking Cap</w:t>
            </w:r>
            <w:r w:rsidRPr="0083797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: </w:t>
            </w:r>
            <w:r w:rsidRPr="0083797A">
              <w:rPr>
                <w:rFonts w:ascii="Arial" w:hAnsi="Arial" w:cs="Arial"/>
                <w:iCs/>
                <w:sz w:val="19"/>
                <w:szCs w:val="19"/>
              </w:rPr>
              <w:t>AR (2,810,038) – AP (547,053) = $2,262,985</w:t>
            </w:r>
          </w:p>
          <w:p w14:paraId="65AF791B" w14:textId="7777777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Leasehold Improvements:</w:t>
            </w:r>
            <w:r w:rsidRPr="0083797A">
              <w:rPr>
                <w:rFonts w:ascii="Arial" w:hAnsi="Arial" w:cs="Arial"/>
                <w:iCs/>
                <w:sz w:val="19"/>
                <w:szCs w:val="19"/>
              </w:rPr>
              <w:t xml:space="preserve"> $460,194</w:t>
            </w:r>
          </w:p>
          <w:p w14:paraId="17C5E78A" w14:textId="7777777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Prepaid Expenses</w:t>
            </w:r>
            <w:r w:rsidRPr="0083797A">
              <w:rPr>
                <w:rFonts w:ascii="Arial" w:hAnsi="Arial" w:cs="Arial"/>
                <w:iCs/>
                <w:sz w:val="19"/>
                <w:szCs w:val="19"/>
              </w:rPr>
              <w:t>: $121,842</w:t>
            </w:r>
          </w:p>
          <w:p w14:paraId="2C7BF867" w14:textId="0970B8CB" w:rsidR="00580B36" w:rsidRPr="00580B36" w:rsidRDefault="0083797A" w:rsidP="005B4017">
            <w:pPr>
              <w:tabs>
                <w:tab w:val="left" w:pos="7920"/>
              </w:tabs>
              <w:spacing w:before="60" w:line="276" w:lineRule="auto"/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83797A">
              <w:rPr>
                <w:rFonts w:ascii="Arial" w:hAnsi="Arial" w:cs="Arial"/>
                <w:i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36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5B4017">
        <w:trPr>
          <w:trHeight w:val="5175"/>
        </w:trPr>
        <w:tc>
          <w:tcPr>
            <w:tcW w:w="540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Business </w:t>
            </w:r>
            <w:r w:rsidRPr="00FC46F7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7A0B8F7C" w14:textId="5E84359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bookmarkStart w:id="3" w:name="_Hlk43821675"/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Year Establishe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d: 20</w:t>
            </w:r>
            <w:r w:rsidR="00012539">
              <w:rPr>
                <w:rFonts w:ascii="Arial" w:hAnsi="Arial" w:cs="Arial"/>
                <w:bCs/>
                <w:iCs/>
                <w:sz w:val="19"/>
                <w:szCs w:val="19"/>
              </w:rPr>
              <w:t>+ years</w:t>
            </w:r>
          </w:p>
          <w:p w14:paraId="288C8840" w14:textId="435F7AD3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Location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: 1</w:t>
            </w:r>
            <w:r w:rsidR="00012539">
              <w:rPr>
                <w:rFonts w:ascii="Arial" w:hAnsi="Arial" w:cs="Arial"/>
                <w:bCs/>
                <w:iCs/>
                <w:sz w:val="19"/>
                <w:szCs w:val="19"/>
              </w:rPr>
              <w:t>0+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Locations in the Pacific Northwest</w:t>
            </w:r>
          </w:p>
          <w:p w14:paraId="3253D0FF" w14:textId="7777777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Service Area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: Local, Intra, Interstate and International</w:t>
            </w:r>
          </w:p>
          <w:p w14:paraId="5485A6FE" w14:textId="1E9965C6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Services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:</w:t>
            </w:r>
            <w:r w:rsidR="0088286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O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ffice &amp; business moving, residential moving, storage</w:t>
            </w:r>
            <w:r w:rsidR="0088286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and warehousing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, packing &amp; crating</w:t>
            </w:r>
          </w:p>
          <w:p w14:paraId="712D9B26" w14:textId="13F33F29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Clients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: Military</w:t>
            </w:r>
            <w:r w:rsidR="0088286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contracts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, business </w:t>
            </w:r>
            <w:r w:rsidR="0088286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and corporate 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owners, and </w:t>
            </w:r>
            <w:r w:rsidR="0088286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some residential with 65% being repeat. </w:t>
            </w:r>
          </w:p>
          <w:p w14:paraId="7DA5EF9F" w14:textId="5723198E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Reason for Selling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>Retirement planning and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owns commercial property, looking to deploy 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more 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capital there</w:t>
            </w:r>
          </w:p>
          <w:p w14:paraId="61E6997A" w14:textId="0EEF6540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Personnel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 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~300 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including executive &amp; management teams, drivers, movers, marketing, sales, 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and 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call center</w:t>
            </w:r>
          </w:p>
          <w:p w14:paraId="669ABAC1" w14:textId="3899A7FE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Growth Opportunities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Recently 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>launched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mobile storage/pods, continue to grow through small, inexpensive acquisitions, server farm moving &amp; hauling</w:t>
            </w:r>
          </w:p>
          <w:p w14:paraId="58FB6B5C" w14:textId="77777777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Current Owners’ Responsibilities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bookmarkEnd w:id="3"/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Absentee – participates in 2 team meetings per month</w:t>
            </w:r>
          </w:p>
          <w:p w14:paraId="40527BD1" w14:textId="76F566E0" w:rsidR="0083797A" w:rsidRPr="0083797A" w:rsidRDefault="0083797A" w:rsidP="005B4017">
            <w:pPr>
              <w:tabs>
                <w:tab w:val="left" w:pos="7920"/>
              </w:tabs>
              <w:spacing w:before="60" w:line="276" w:lineRule="auto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3797A">
              <w:rPr>
                <w:rFonts w:ascii="Arial" w:hAnsi="Arial" w:cs="Arial"/>
                <w:b/>
                <w:iCs/>
                <w:sz w:val="19"/>
                <w:szCs w:val="19"/>
              </w:rPr>
              <w:t>Seller Training Period</w:t>
            </w:r>
            <w:r w:rsidRPr="0083797A">
              <w:rPr>
                <w:rFonts w:ascii="Arial" w:hAnsi="Arial" w:cs="Arial"/>
                <w:bCs/>
                <w:iCs/>
                <w:sz w:val="19"/>
                <w:szCs w:val="19"/>
              </w:rPr>
              <w:t>: 6 months-1 year</w:t>
            </w:r>
            <w:r w:rsidR="000B6961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All of his roles have been absorbed over the last several years. </w:t>
            </w:r>
          </w:p>
          <w:p w14:paraId="4398EF34" w14:textId="3E55BB9F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5B4017">
        <w:trPr>
          <w:trHeight w:val="342"/>
        </w:trPr>
        <w:tc>
          <w:tcPr>
            <w:tcW w:w="10800" w:type="dxa"/>
            <w:gridSpan w:val="3"/>
          </w:tcPr>
          <w:p w14:paraId="65393F44" w14:textId="3854FF8F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CF6D47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JB 9.21</w:t>
            </w:r>
            <w:r w:rsidR="003A5FF6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.</w:t>
            </w:r>
            <w:r w:rsidR="0083797A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2022</w:t>
            </w:r>
          </w:p>
        </w:tc>
      </w:tr>
      <w:tr w:rsidR="001574A5" w14:paraId="3CD2810C" w14:textId="77777777" w:rsidTr="005B4017">
        <w:tc>
          <w:tcPr>
            <w:tcW w:w="1080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34357">
    <w:abstractNumId w:val="0"/>
  </w:num>
  <w:num w:numId="2" w16cid:durableId="119461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2539"/>
    <w:rsid w:val="000156E5"/>
    <w:rsid w:val="00025A03"/>
    <w:rsid w:val="000428DA"/>
    <w:rsid w:val="00043F01"/>
    <w:rsid w:val="00055210"/>
    <w:rsid w:val="00056E61"/>
    <w:rsid w:val="0008040B"/>
    <w:rsid w:val="000A57AF"/>
    <w:rsid w:val="000B58EB"/>
    <w:rsid w:val="000B5EE0"/>
    <w:rsid w:val="000B6153"/>
    <w:rsid w:val="000B6961"/>
    <w:rsid w:val="000B6D15"/>
    <w:rsid w:val="000C5EF2"/>
    <w:rsid w:val="000E5C9F"/>
    <w:rsid w:val="000F2A8B"/>
    <w:rsid w:val="00127EE4"/>
    <w:rsid w:val="00141010"/>
    <w:rsid w:val="00146BBE"/>
    <w:rsid w:val="001574A5"/>
    <w:rsid w:val="00186964"/>
    <w:rsid w:val="001A773D"/>
    <w:rsid w:val="001B7705"/>
    <w:rsid w:val="001F3977"/>
    <w:rsid w:val="00226630"/>
    <w:rsid w:val="00241C4A"/>
    <w:rsid w:val="002450C4"/>
    <w:rsid w:val="00264766"/>
    <w:rsid w:val="002657D4"/>
    <w:rsid w:val="0027046A"/>
    <w:rsid w:val="002A0F18"/>
    <w:rsid w:val="002A6251"/>
    <w:rsid w:val="002B667B"/>
    <w:rsid w:val="002D05BD"/>
    <w:rsid w:val="002D19EF"/>
    <w:rsid w:val="002D58A9"/>
    <w:rsid w:val="002E2993"/>
    <w:rsid w:val="002E2C4A"/>
    <w:rsid w:val="002F3D05"/>
    <w:rsid w:val="00320C48"/>
    <w:rsid w:val="00323505"/>
    <w:rsid w:val="00352DCE"/>
    <w:rsid w:val="0036070A"/>
    <w:rsid w:val="003A5FF6"/>
    <w:rsid w:val="003A6CEA"/>
    <w:rsid w:val="003C763B"/>
    <w:rsid w:val="003D5FAC"/>
    <w:rsid w:val="003E7C8A"/>
    <w:rsid w:val="00445B16"/>
    <w:rsid w:val="00477906"/>
    <w:rsid w:val="0048332C"/>
    <w:rsid w:val="00484906"/>
    <w:rsid w:val="004938B9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1B2A"/>
    <w:rsid w:val="00582F80"/>
    <w:rsid w:val="00586651"/>
    <w:rsid w:val="00590C3E"/>
    <w:rsid w:val="005921C8"/>
    <w:rsid w:val="00596E4D"/>
    <w:rsid w:val="00597664"/>
    <w:rsid w:val="005B4017"/>
    <w:rsid w:val="005C6BC4"/>
    <w:rsid w:val="005C7AEB"/>
    <w:rsid w:val="005D61D5"/>
    <w:rsid w:val="005F13E1"/>
    <w:rsid w:val="006019DD"/>
    <w:rsid w:val="00610C33"/>
    <w:rsid w:val="006149B0"/>
    <w:rsid w:val="006362DF"/>
    <w:rsid w:val="006562BE"/>
    <w:rsid w:val="006625F8"/>
    <w:rsid w:val="00687BDE"/>
    <w:rsid w:val="00697D51"/>
    <w:rsid w:val="006B4AFF"/>
    <w:rsid w:val="006C2E70"/>
    <w:rsid w:val="006E0EE5"/>
    <w:rsid w:val="006F395B"/>
    <w:rsid w:val="0072599F"/>
    <w:rsid w:val="00730FEF"/>
    <w:rsid w:val="00767025"/>
    <w:rsid w:val="00772E20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3797A"/>
    <w:rsid w:val="008404F6"/>
    <w:rsid w:val="00855ADE"/>
    <w:rsid w:val="00864236"/>
    <w:rsid w:val="00874E76"/>
    <w:rsid w:val="00882866"/>
    <w:rsid w:val="008A1FCA"/>
    <w:rsid w:val="008A361F"/>
    <w:rsid w:val="008B50C4"/>
    <w:rsid w:val="008C4B63"/>
    <w:rsid w:val="008D6ED5"/>
    <w:rsid w:val="008E7BD5"/>
    <w:rsid w:val="0092091B"/>
    <w:rsid w:val="0094449F"/>
    <w:rsid w:val="0096047B"/>
    <w:rsid w:val="009B4FA4"/>
    <w:rsid w:val="009D3C12"/>
    <w:rsid w:val="009E34FE"/>
    <w:rsid w:val="00A1567E"/>
    <w:rsid w:val="00A31752"/>
    <w:rsid w:val="00A32911"/>
    <w:rsid w:val="00A70D48"/>
    <w:rsid w:val="00A8394F"/>
    <w:rsid w:val="00AD4AE3"/>
    <w:rsid w:val="00AD6F70"/>
    <w:rsid w:val="00B05726"/>
    <w:rsid w:val="00B12AA6"/>
    <w:rsid w:val="00B15AE6"/>
    <w:rsid w:val="00B266B1"/>
    <w:rsid w:val="00B34534"/>
    <w:rsid w:val="00B42A48"/>
    <w:rsid w:val="00B5442D"/>
    <w:rsid w:val="00B73992"/>
    <w:rsid w:val="00B87F86"/>
    <w:rsid w:val="00B94173"/>
    <w:rsid w:val="00B95503"/>
    <w:rsid w:val="00B95D26"/>
    <w:rsid w:val="00BC2C8B"/>
    <w:rsid w:val="00BD0541"/>
    <w:rsid w:val="00C40535"/>
    <w:rsid w:val="00C60080"/>
    <w:rsid w:val="00C75B6A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7FC4"/>
    <w:rsid w:val="00CF2C63"/>
    <w:rsid w:val="00CF3B1C"/>
    <w:rsid w:val="00CF6D47"/>
    <w:rsid w:val="00CF7500"/>
    <w:rsid w:val="00D23533"/>
    <w:rsid w:val="00D278A9"/>
    <w:rsid w:val="00D507B3"/>
    <w:rsid w:val="00D53B05"/>
    <w:rsid w:val="00D81A23"/>
    <w:rsid w:val="00D81A31"/>
    <w:rsid w:val="00D93E3D"/>
    <w:rsid w:val="00DA0CA9"/>
    <w:rsid w:val="00DE206D"/>
    <w:rsid w:val="00DF32F5"/>
    <w:rsid w:val="00DF76D5"/>
    <w:rsid w:val="00E12081"/>
    <w:rsid w:val="00E47A62"/>
    <w:rsid w:val="00E5377F"/>
    <w:rsid w:val="00E54E9D"/>
    <w:rsid w:val="00E57D8A"/>
    <w:rsid w:val="00E62EFE"/>
    <w:rsid w:val="00E65DE6"/>
    <w:rsid w:val="00E73FEA"/>
    <w:rsid w:val="00EA35B6"/>
    <w:rsid w:val="00EC05D5"/>
    <w:rsid w:val="00EC792B"/>
    <w:rsid w:val="00ED063B"/>
    <w:rsid w:val="00ED2303"/>
    <w:rsid w:val="00ED4DAB"/>
    <w:rsid w:val="00ED52FA"/>
    <w:rsid w:val="00EE5069"/>
    <w:rsid w:val="00F0467C"/>
    <w:rsid w:val="00F33AB4"/>
    <w:rsid w:val="00F4497D"/>
    <w:rsid w:val="00F5387D"/>
    <w:rsid w:val="00FA7473"/>
    <w:rsid w:val="00FC275D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Andrew</cp:lastModifiedBy>
  <cp:revision>6</cp:revision>
  <cp:lastPrinted>2017-01-03T15:41:00Z</cp:lastPrinted>
  <dcterms:created xsi:type="dcterms:W3CDTF">2022-09-21T13:52:00Z</dcterms:created>
  <dcterms:modified xsi:type="dcterms:W3CDTF">2022-09-21T15:16:00Z</dcterms:modified>
</cp:coreProperties>
</file>