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2D709D2"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E15508">
        <w:rPr>
          <w:rFonts w:ascii="Arial" w:hAnsi="Arial" w:cs="Arial"/>
          <w:b/>
          <w:sz w:val="20"/>
          <w:szCs w:val="20"/>
        </w:rPr>
        <w:t xml:space="preserve">ID#: </w:t>
      </w:r>
      <w:r w:rsidR="00E15508" w:rsidRPr="00E15508">
        <w:rPr>
          <w:rFonts w:ascii="Arial" w:hAnsi="Arial" w:cs="Arial"/>
          <w:b/>
          <w:sz w:val="20"/>
          <w:szCs w:val="20"/>
        </w:rPr>
        <w:t>AEI023</w:t>
      </w:r>
      <w:r w:rsidR="00E82987">
        <w:rPr>
          <w:rFonts w:ascii="Arial" w:hAnsi="Arial" w:cs="Arial"/>
          <w:b/>
          <w:sz w:val="20"/>
          <w:szCs w:val="20"/>
        </w:rPr>
        <w:t>2-</w:t>
      </w:r>
      <w:r w:rsidR="002C77B9">
        <w:rPr>
          <w:rFonts w:ascii="Arial" w:hAnsi="Arial" w:cs="Arial"/>
          <w:b/>
          <w:sz w:val="20"/>
          <w:szCs w:val="20"/>
        </w:rPr>
        <w:t>E</w:t>
      </w:r>
    </w:p>
    <w:p w14:paraId="43C4601B" w14:textId="77777777" w:rsidR="003C763B" w:rsidRDefault="004F1199"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36C10B94" w:rsidR="00580B36" w:rsidRPr="00580B36" w:rsidRDefault="00580B36" w:rsidP="00580B36">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2C77B9">
        <w:rPr>
          <w:rFonts w:ascii="Arial" w:eastAsia="Calibri" w:hAnsi="Arial" w:cs="Arial"/>
          <w:b/>
          <w:iCs/>
          <w:sz w:val="36"/>
          <w:szCs w:val="36"/>
        </w:rPr>
        <w:t>Architecture Firm Poised for a Merger with 30% Seller Holdback</w:t>
      </w:r>
    </w:p>
    <w:p w14:paraId="62CD981B" w14:textId="2BC6F948" w:rsidR="006562BE" w:rsidRDefault="00C707B4"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Over $4 Million in Backlog for Nationwide Client Base</w:t>
      </w:r>
      <w:r w:rsidR="002736E0">
        <w:rPr>
          <w:rFonts w:ascii="Arial" w:eastAsia="Calibri" w:hAnsi="Arial" w:cs="Arial"/>
          <w:bCs/>
          <w:i/>
          <w:color w:val="595959"/>
          <w:sz w:val="28"/>
          <w:szCs w:val="20"/>
        </w:rPr>
        <w:t>!</w:t>
      </w:r>
    </w:p>
    <w:p w14:paraId="4A05C983" w14:textId="77777777" w:rsidR="00AC1FFE" w:rsidRPr="006562BE" w:rsidRDefault="00AC1FFE" w:rsidP="00580B36">
      <w:pPr>
        <w:tabs>
          <w:tab w:val="left" w:pos="7920"/>
        </w:tabs>
        <w:spacing w:after="0" w:line="240" w:lineRule="auto"/>
        <w:jc w:val="center"/>
        <w:rPr>
          <w:b/>
          <w:sz w:val="10"/>
          <w:szCs w:val="10"/>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680"/>
        <w:gridCol w:w="360"/>
        <w:gridCol w:w="5670"/>
      </w:tblGrid>
      <w:tr w:rsidR="00580B36" w14:paraId="19DAF3D9" w14:textId="77777777" w:rsidTr="0070729D">
        <w:trPr>
          <w:trHeight w:hRule="exact" w:val="4401"/>
        </w:trPr>
        <w:tc>
          <w:tcPr>
            <w:tcW w:w="468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24C803FE"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004E4EBE">
              <w:rPr>
                <w:rFonts w:ascii="Arial" w:hAnsi="Arial" w:cs="Arial"/>
                <w:b/>
                <w:iCs/>
                <w:color w:val="55274E"/>
                <w:sz w:val="24"/>
                <w:szCs w:val="24"/>
              </w:rPr>
              <w:t>$</w:t>
            </w:r>
            <w:r w:rsidR="00E15508">
              <w:rPr>
                <w:rFonts w:ascii="Arial" w:hAnsi="Arial" w:cs="Arial"/>
                <w:b/>
                <w:iCs/>
                <w:color w:val="55274E"/>
                <w:sz w:val="24"/>
                <w:szCs w:val="24"/>
              </w:rPr>
              <w:t>4,</w:t>
            </w:r>
            <w:r w:rsidR="002C77B9">
              <w:rPr>
                <w:rFonts w:ascii="Arial" w:hAnsi="Arial" w:cs="Arial"/>
                <w:b/>
                <w:iCs/>
                <w:color w:val="55274E"/>
                <w:sz w:val="24"/>
                <w:szCs w:val="24"/>
              </w:rPr>
              <w:t>375</w:t>
            </w:r>
            <w:r w:rsidR="00E15508">
              <w:rPr>
                <w:rFonts w:ascii="Arial" w:hAnsi="Arial" w:cs="Arial"/>
                <w:b/>
                <w:iCs/>
                <w:color w:val="55274E"/>
                <w:sz w:val="24"/>
                <w:szCs w:val="24"/>
              </w:rPr>
              <w:t>,000</w:t>
            </w:r>
          </w:p>
          <w:p w14:paraId="29C72B1A" w14:textId="77777777" w:rsidR="00580B36" w:rsidRPr="005141C4" w:rsidRDefault="00580B36" w:rsidP="00C707B4">
            <w:pPr>
              <w:tabs>
                <w:tab w:val="left" w:pos="7920"/>
              </w:tabs>
              <w:spacing w:before="120" w:after="120"/>
              <w:ind w:left="374" w:hanging="187"/>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Ind w:w="625" w:type="dxa"/>
              <w:tblLayout w:type="fixed"/>
              <w:tblLook w:val="04A0" w:firstRow="1" w:lastRow="0" w:firstColumn="1" w:lastColumn="0" w:noHBand="0" w:noVBand="1"/>
            </w:tblPr>
            <w:tblGrid>
              <w:gridCol w:w="1800"/>
              <w:gridCol w:w="1710"/>
            </w:tblGrid>
            <w:tr w:rsidR="003C0D4D" w:rsidRPr="00580B36" w14:paraId="3ED3829C" w14:textId="5A73CFC5" w:rsidTr="00F04FF6">
              <w:tc>
                <w:tcPr>
                  <w:tcW w:w="1800" w:type="dxa"/>
                  <w:shd w:val="clear" w:color="auto" w:fill="55274E"/>
                </w:tcPr>
                <w:p w14:paraId="3D3FFF45" w14:textId="78B350A4" w:rsidR="003C0D4D" w:rsidRPr="00C707B4" w:rsidRDefault="003C0D4D" w:rsidP="00580B36">
                  <w:pPr>
                    <w:tabs>
                      <w:tab w:val="left" w:pos="7920"/>
                    </w:tabs>
                    <w:jc w:val="center"/>
                    <w:rPr>
                      <w:rFonts w:ascii="Arial" w:hAnsi="Arial" w:cs="Arial"/>
                      <w:bCs/>
                      <w:iCs/>
                      <w:color w:val="FFFFFF" w:themeColor="background1"/>
                    </w:rPr>
                  </w:pPr>
                  <w:r w:rsidRPr="00C707B4">
                    <w:rPr>
                      <w:rFonts w:ascii="Arial" w:hAnsi="Arial" w:cs="Arial"/>
                      <w:bCs/>
                      <w:iCs/>
                      <w:color w:val="FFFFFF" w:themeColor="background1"/>
                    </w:rPr>
                    <w:t>2022</w:t>
                  </w:r>
                  <w:r w:rsidR="0008340A" w:rsidRPr="00C707B4">
                    <w:rPr>
                      <w:rFonts w:ascii="Arial" w:hAnsi="Arial" w:cs="Arial"/>
                      <w:bCs/>
                      <w:iCs/>
                      <w:color w:val="FFFFFF" w:themeColor="background1"/>
                    </w:rPr>
                    <w:t xml:space="preserve"> </w:t>
                  </w:r>
                  <w:r w:rsidR="00F34561" w:rsidRPr="00C707B4">
                    <w:rPr>
                      <w:rFonts w:ascii="Arial" w:hAnsi="Arial" w:cs="Arial"/>
                      <w:bCs/>
                      <w:i/>
                      <w:color w:val="FFFFFF" w:themeColor="background1"/>
                    </w:rPr>
                    <w:t>A</w:t>
                  </w:r>
                  <w:r w:rsidR="0008340A" w:rsidRPr="00C707B4">
                    <w:rPr>
                      <w:rFonts w:ascii="Arial" w:hAnsi="Arial" w:cs="Arial"/>
                      <w:bCs/>
                      <w:i/>
                      <w:color w:val="FFFFFF" w:themeColor="background1"/>
                    </w:rPr>
                    <w:t>nnualized</w:t>
                  </w:r>
                </w:p>
              </w:tc>
              <w:tc>
                <w:tcPr>
                  <w:tcW w:w="1710" w:type="dxa"/>
                  <w:shd w:val="clear" w:color="auto" w:fill="55274E"/>
                </w:tcPr>
                <w:p w14:paraId="58CD3C6A" w14:textId="7EAFE70E" w:rsidR="003C0D4D" w:rsidRPr="00C707B4" w:rsidRDefault="003C0D4D" w:rsidP="00580B36">
                  <w:pPr>
                    <w:tabs>
                      <w:tab w:val="left" w:pos="7920"/>
                    </w:tabs>
                    <w:jc w:val="center"/>
                    <w:rPr>
                      <w:rFonts w:ascii="Arial" w:hAnsi="Arial" w:cs="Arial"/>
                      <w:b/>
                      <w:bCs/>
                      <w:iCs/>
                      <w:color w:val="FFFFFF" w:themeColor="background1"/>
                    </w:rPr>
                  </w:pPr>
                  <w:r w:rsidRPr="00C707B4">
                    <w:rPr>
                      <w:rFonts w:ascii="Arial" w:hAnsi="Arial" w:cs="Arial"/>
                      <w:bCs/>
                      <w:iCs/>
                      <w:color w:val="FFFFFF" w:themeColor="background1"/>
                    </w:rPr>
                    <w:t>2021</w:t>
                  </w:r>
                </w:p>
              </w:tc>
            </w:tr>
            <w:tr w:rsidR="003C0D4D" w:rsidRPr="00580B36" w14:paraId="2EC9B8E0" w14:textId="3C9A2C14" w:rsidTr="00F04FF6">
              <w:tc>
                <w:tcPr>
                  <w:tcW w:w="1800" w:type="dxa"/>
                </w:tcPr>
                <w:p w14:paraId="790AD64C" w14:textId="0C029F62" w:rsidR="003C0D4D" w:rsidRPr="00C707B4" w:rsidRDefault="003C0D4D" w:rsidP="00580B36">
                  <w:pPr>
                    <w:tabs>
                      <w:tab w:val="left" w:pos="7920"/>
                    </w:tabs>
                    <w:jc w:val="center"/>
                    <w:rPr>
                      <w:rFonts w:ascii="Arial" w:hAnsi="Arial" w:cs="Arial"/>
                      <w:iCs/>
                    </w:rPr>
                  </w:pPr>
                  <w:r w:rsidRPr="00C707B4">
                    <w:rPr>
                      <w:rFonts w:ascii="Arial" w:hAnsi="Arial" w:cs="Arial"/>
                      <w:iCs/>
                    </w:rPr>
                    <w:t>$6,124,350</w:t>
                  </w:r>
                </w:p>
              </w:tc>
              <w:tc>
                <w:tcPr>
                  <w:tcW w:w="1710" w:type="dxa"/>
                </w:tcPr>
                <w:p w14:paraId="53467F60" w14:textId="1EB25439" w:rsidR="003C0D4D" w:rsidRPr="00C707B4" w:rsidRDefault="003C0D4D" w:rsidP="00580B36">
                  <w:pPr>
                    <w:tabs>
                      <w:tab w:val="left" w:pos="7920"/>
                    </w:tabs>
                    <w:jc w:val="center"/>
                    <w:rPr>
                      <w:rFonts w:ascii="Arial" w:hAnsi="Arial" w:cs="Arial"/>
                      <w:iCs/>
                    </w:rPr>
                  </w:pPr>
                  <w:r w:rsidRPr="00C707B4">
                    <w:rPr>
                      <w:rFonts w:ascii="Arial" w:hAnsi="Arial" w:cs="Arial"/>
                      <w:iCs/>
                    </w:rPr>
                    <w:t>$5,922,554</w:t>
                  </w:r>
                </w:p>
              </w:tc>
            </w:tr>
          </w:tbl>
          <w:p w14:paraId="373E2B51" w14:textId="77777777" w:rsidR="0008340A" w:rsidRDefault="0008340A" w:rsidP="005141C4">
            <w:pPr>
              <w:tabs>
                <w:tab w:val="left" w:pos="7920"/>
              </w:tabs>
              <w:ind w:left="180"/>
              <w:rPr>
                <w:rFonts w:ascii="Arial" w:hAnsi="Arial" w:cs="Arial"/>
                <w:b/>
                <w:bCs/>
                <w:iCs/>
                <w:sz w:val="20"/>
                <w:szCs w:val="20"/>
              </w:rPr>
            </w:pPr>
          </w:p>
          <w:p w14:paraId="50B41F27" w14:textId="2AEF3E85" w:rsidR="00580B36" w:rsidRPr="005141C4" w:rsidRDefault="00580B36" w:rsidP="00C707B4">
            <w:pPr>
              <w:tabs>
                <w:tab w:val="left" w:pos="7920"/>
              </w:tabs>
              <w:spacing w:after="120"/>
              <w:ind w:left="187"/>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Ind w:w="1165" w:type="dxa"/>
              <w:tblLayout w:type="fixed"/>
              <w:tblLook w:val="04A0" w:firstRow="1" w:lastRow="0" w:firstColumn="1" w:lastColumn="0" w:noHBand="0" w:noVBand="1"/>
            </w:tblPr>
            <w:tblGrid>
              <w:gridCol w:w="1890"/>
            </w:tblGrid>
            <w:tr w:rsidR="000222A0" w:rsidRPr="00580B36" w14:paraId="2F2EAF70" w14:textId="607AD3E5" w:rsidTr="00F04FF6">
              <w:trPr>
                <w:trHeight w:val="263"/>
              </w:trPr>
              <w:tc>
                <w:tcPr>
                  <w:tcW w:w="1890" w:type="dxa"/>
                  <w:shd w:val="clear" w:color="auto" w:fill="55274E"/>
                </w:tcPr>
                <w:p w14:paraId="291BEBB8" w14:textId="278D9600" w:rsidR="000222A0" w:rsidRPr="00C707B4" w:rsidRDefault="000222A0" w:rsidP="00D93E3D">
                  <w:pPr>
                    <w:tabs>
                      <w:tab w:val="left" w:pos="7920"/>
                    </w:tabs>
                    <w:jc w:val="center"/>
                    <w:rPr>
                      <w:rFonts w:ascii="Arial" w:hAnsi="Arial" w:cs="Arial"/>
                      <w:b/>
                      <w:bCs/>
                      <w:iCs/>
                      <w:color w:val="FFFFFF" w:themeColor="background1"/>
                    </w:rPr>
                  </w:pPr>
                  <w:r w:rsidRPr="00C707B4">
                    <w:rPr>
                      <w:rFonts w:ascii="Arial" w:hAnsi="Arial" w:cs="Arial"/>
                      <w:bCs/>
                      <w:iCs/>
                      <w:color w:val="FFFFFF" w:themeColor="background1"/>
                    </w:rPr>
                    <w:t>2021</w:t>
                  </w:r>
                </w:p>
              </w:tc>
            </w:tr>
            <w:tr w:rsidR="000222A0" w:rsidRPr="00580B36" w14:paraId="6AD1BB7E" w14:textId="597E0F69" w:rsidTr="00F04FF6">
              <w:trPr>
                <w:trHeight w:val="247"/>
              </w:trPr>
              <w:tc>
                <w:tcPr>
                  <w:tcW w:w="1890" w:type="dxa"/>
                </w:tcPr>
                <w:p w14:paraId="2D0D1B01" w14:textId="46AA006A" w:rsidR="000222A0" w:rsidRPr="00C707B4" w:rsidRDefault="000222A0" w:rsidP="00D93E3D">
                  <w:pPr>
                    <w:tabs>
                      <w:tab w:val="left" w:pos="7920"/>
                    </w:tabs>
                    <w:jc w:val="center"/>
                    <w:rPr>
                      <w:rFonts w:ascii="Arial" w:hAnsi="Arial" w:cs="Arial"/>
                      <w:iCs/>
                    </w:rPr>
                  </w:pPr>
                  <w:r w:rsidRPr="00C707B4">
                    <w:rPr>
                      <w:rFonts w:ascii="Arial" w:hAnsi="Arial" w:cs="Arial"/>
                      <w:iCs/>
                    </w:rPr>
                    <w:t>$1,</w:t>
                  </w:r>
                  <w:r w:rsidR="003C0D4D" w:rsidRPr="00C707B4">
                    <w:rPr>
                      <w:rFonts w:ascii="Arial" w:hAnsi="Arial" w:cs="Arial"/>
                      <w:iCs/>
                    </w:rPr>
                    <w:t>201,592</w:t>
                  </w:r>
                </w:p>
              </w:tc>
            </w:tr>
          </w:tbl>
          <w:p w14:paraId="0CA51061" w14:textId="44BAB5C8" w:rsidR="004E4EBE" w:rsidRPr="003C0D4D" w:rsidRDefault="004E4EBE" w:rsidP="003C0D4D">
            <w:pPr>
              <w:tabs>
                <w:tab w:val="left" w:pos="7920"/>
              </w:tabs>
              <w:spacing w:before="60"/>
              <w:rPr>
                <w:rFonts w:ascii="Arial" w:hAnsi="Arial" w:cs="Arial"/>
                <w:iCs/>
                <w:sz w:val="20"/>
                <w:szCs w:val="20"/>
              </w:rPr>
            </w:pPr>
          </w:p>
          <w:p w14:paraId="2A9F6229" w14:textId="3F345DB2"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w:t>
            </w:r>
            <w:r w:rsidR="00BF6CFA">
              <w:rPr>
                <w:rFonts w:ascii="Arial" w:hAnsi="Arial" w:cs="Arial"/>
                <w:iCs/>
                <w:sz w:val="20"/>
                <w:szCs w:val="20"/>
              </w:rPr>
              <w:t xml:space="preserve"> </w:t>
            </w:r>
            <w:r w:rsidR="00985ECC">
              <w:rPr>
                <w:rFonts w:ascii="Arial" w:hAnsi="Arial" w:cs="Arial"/>
                <w:iCs/>
                <w:sz w:val="20"/>
                <w:szCs w:val="20"/>
              </w:rPr>
              <w:t>3.</w:t>
            </w:r>
            <w:r w:rsidR="00C707B4">
              <w:rPr>
                <w:rFonts w:ascii="Arial" w:hAnsi="Arial" w:cs="Arial"/>
                <w:iCs/>
                <w:sz w:val="20"/>
                <w:szCs w:val="20"/>
              </w:rPr>
              <w:t>65</w:t>
            </w:r>
          </w:p>
          <w:p w14:paraId="3F858C25" w14:textId="226A8E5A" w:rsidR="00580B36" w:rsidRDefault="00580B36" w:rsidP="00580B36">
            <w:pPr>
              <w:pStyle w:val="ListParagraph"/>
              <w:tabs>
                <w:tab w:val="left" w:pos="7920"/>
              </w:tabs>
              <w:spacing w:before="60"/>
              <w:ind w:left="900"/>
              <w:rPr>
                <w:rFonts w:ascii="Arial" w:hAnsi="Arial" w:cs="Arial"/>
                <w:iCs/>
                <w:sz w:val="8"/>
                <w:szCs w:val="8"/>
              </w:rPr>
            </w:pPr>
          </w:p>
          <w:p w14:paraId="6CE3E6FD" w14:textId="77777777" w:rsidR="00602C33" w:rsidRPr="00580B36" w:rsidRDefault="00602C33" w:rsidP="00580B36">
            <w:pPr>
              <w:pStyle w:val="ListParagraph"/>
              <w:tabs>
                <w:tab w:val="left" w:pos="7920"/>
              </w:tabs>
              <w:spacing w:before="60"/>
              <w:ind w:left="900"/>
              <w:rPr>
                <w:rFonts w:ascii="Arial" w:hAnsi="Arial" w:cs="Arial"/>
                <w:iCs/>
                <w:sz w:val="8"/>
                <w:szCs w:val="8"/>
              </w:rPr>
            </w:pPr>
          </w:p>
          <w:p w14:paraId="015E4BB3" w14:textId="49AD1B76" w:rsidR="00580B36" w:rsidRPr="006A78FB"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4"/>
                <w:szCs w:val="24"/>
              </w:rPr>
            </w:pPr>
            <w:r w:rsidRPr="006A78FB">
              <w:rPr>
                <w:rFonts w:ascii="Arial" w:hAnsi="Arial" w:cs="Arial"/>
                <w:b/>
                <w:bCs/>
                <w:iCs/>
                <w:sz w:val="20"/>
                <w:szCs w:val="20"/>
              </w:rPr>
              <w:t>Valuat</w:t>
            </w:r>
            <w:r w:rsidR="006A78FB">
              <w:rPr>
                <w:rFonts w:ascii="Arial" w:hAnsi="Arial" w:cs="Arial"/>
                <w:b/>
                <w:bCs/>
                <w:iCs/>
                <w:sz w:val="20"/>
                <w:szCs w:val="20"/>
              </w:rPr>
              <w:t xml:space="preserve">ion: </w:t>
            </w:r>
            <w:r w:rsidR="003C0D4D" w:rsidRPr="006A78FB">
              <w:rPr>
                <w:rFonts w:ascii="Arial" w:hAnsi="Arial" w:cs="Arial"/>
                <w:iCs/>
                <w:sz w:val="20"/>
                <w:szCs w:val="20"/>
              </w:rPr>
              <w:t>2021</w:t>
            </w:r>
            <w:r w:rsidR="00D93E3D" w:rsidRPr="006A78FB">
              <w:rPr>
                <w:rFonts w:ascii="Arial" w:hAnsi="Arial" w:cs="Arial"/>
                <w:iCs/>
                <w:sz w:val="20"/>
                <w:szCs w:val="20"/>
              </w:rPr>
              <w:t xml:space="preserve"> </w:t>
            </w:r>
            <w:r w:rsidRPr="006A78FB">
              <w:rPr>
                <w:rFonts w:ascii="Arial" w:hAnsi="Arial" w:cs="Arial"/>
                <w:iCs/>
                <w:sz w:val="20"/>
                <w:szCs w:val="20"/>
              </w:rPr>
              <w:t>Cash Flow</w:t>
            </w:r>
            <w:r w:rsidRPr="006A78FB">
              <w:rPr>
                <w:rFonts w:ascii="Arial" w:hAnsi="Arial" w:cs="Arial"/>
                <w:iCs/>
                <w:sz w:val="20"/>
                <w:szCs w:val="24"/>
              </w:rPr>
              <w:t xml:space="preserve"> x Multiple = Valuation</w:t>
            </w:r>
          </w:p>
          <w:p w14:paraId="7BFB7535" w14:textId="3510C9EA" w:rsidR="00580B36" w:rsidRPr="009702C1"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rPr>
            </w:pPr>
            <w:r w:rsidRPr="009702C1">
              <w:rPr>
                <w:rFonts w:ascii="Arial" w:hAnsi="Arial" w:cs="Arial"/>
                <w:iCs/>
              </w:rPr>
              <w:t xml:space="preserve">            </w:t>
            </w:r>
            <w:r w:rsidRPr="009702C1">
              <w:rPr>
                <w:rFonts w:ascii="Arial" w:hAnsi="Arial" w:cs="Arial"/>
                <w:iCs/>
              </w:rPr>
              <w:tab/>
            </w:r>
            <w:r w:rsidR="007A5F58" w:rsidRPr="009702C1">
              <w:rPr>
                <w:rFonts w:ascii="Arial" w:hAnsi="Arial" w:cs="Arial"/>
                <w:iCs/>
              </w:rPr>
              <w:t>$1</w:t>
            </w:r>
            <w:r w:rsidR="001A496B" w:rsidRPr="009702C1">
              <w:rPr>
                <w:rFonts w:ascii="Arial" w:hAnsi="Arial" w:cs="Arial"/>
                <w:iCs/>
              </w:rPr>
              <w:t>,</w:t>
            </w:r>
            <w:r w:rsidR="00985ECC">
              <w:rPr>
                <w:rFonts w:ascii="Arial" w:hAnsi="Arial" w:cs="Arial"/>
                <w:iCs/>
              </w:rPr>
              <w:t>201,592</w:t>
            </w:r>
            <w:r w:rsidR="007A5F58" w:rsidRPr="009702C1">
              <w:rPr>
                <w:rFonts w:ascii="Arial" w:hAnsi="Arial" w:cs="Arial"/>
                <w:iCs/>
              </w:rPr>
              <w:t xml:space="preserve">   x   </w:t>
            </w:r>
            <w:r w:rsidR="00985ECC">
              <w:rPr>
                <w:rFonts w:ascii="Arial" w:hAnsi="Arial" w:cs="Arial"/>
                <w:iCs/>
              </w:rPr>
              <w:t>3.</w:t>
            </w:r>
            <w:r w:rsidR="00C707B4">
              <w:rPr>
                <w:rFonts w:ascii="Arial" w:hAnsi="Arial" w:cs="Arial"/>
                <w:iCs/>
              </w:rPr>
              <w:t>65</w:t>
            </w:r>
            <w:r w:rsidR="007A5F58" w:rsidRPr="009702C1">
              <w:rPr>
                <w:rFonts w:ascii="Arial" w:hAnsi="Arial" w:cs="Arial"/>
                <w:iCs/>
              </w:rPr>
              <w:t xml:space="preserve">    =   $4,</w:t>
            </w:r>
            <w:r w:rsidR="00C707B4">
              <w:rPr>
                <w:rFonts w:ascii="Arial" w:hAnsi="Arial" w:cs="Arial"/>
                <w:iCs/>
              </w:rPr>
              <w:t>385,810</w:t>
            </w:r>
          </w:p>
          <w:p w14:paraId="230F4CEE" w14:textId="77777777" w:rsidR="009702C1" w:rsidRPr="00580B36" w:rsidRDefault="009702C1"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36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val="restart"/>
          </w:tcPr>
          <w:p w14:paraId="78CC59B0" w14:textId="77777777" w:rsidR="00580B36" w:rsidRPr="006562BE" w:rsidRDefault="00580B36" w:rsidP="0021147B">
            <w:pPr>
              <w:tabs>
                <w:tab w:val="right" w:pos="5670"/>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60130CB7"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0021147B">
              <w:rPr>
                <w:rFonts w:ascii="Arial" w:hAnsi="Arial" w:cs="Arial"/>
                <w:iCs/>
                <w:szCs w:val="20"/>
              </w:rPr>
              <w:t xml:space="preserve">             </w:t>
            </w:r>
            <w:r w:rsidRPr="00580B36">
              <w:rPr>
                <w:rFonts w:ascii="Arial" w:hAnsi="Arial" w:cs="Arial"/>
                <w:iCs/>
                <w:szCs w:val="20"/>
              </w:rPr>
              <w:t xml:space="preserve">        </w:t>
            </w:r>
            <w:r w:rsidRPr="00580B36">
              <w:rPr>
                <w:rFonts w:ascii="Arial" w:hAnsi="Arial" w:cs="Arial"/>
                <w:b/>
                <w:iCs/>
                <w:color w:val="55274E"/>
                <w:szCs w:val="20"/>
              </w:rPr>
              <w:t>$</w:t>
            </w:r>
            <w:r w:rsidR="00E15508">
              <w:rPr>
                <w:rFonts w:ascii="Arial" w:hAnsi="Arial" w:cs="Arial"/>
                <w:b/>
                <w:iCs/>
                <w:color w:val="55274E"/>
                <w:szCs w:val="20"/>
              </w:rPr>
              <w:t>4,</w:t>
            </w:r>
            <w:r w:rsidR="00F04FF6">
              <w:rPr>
                <w:rFonts w:ascii="Arial" w:hAnsi="Arial" w:cs="Arial"/>
                <w:b/>
                <w:iCs/>
                <w:color w:val="55274E"/>
                <w:szCs w:val="20"/>
              </w:rPr>
              <w:t>375</w:t>
            </w:r>
            <w:r w:rsidR="00BF6CFA">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Ind w:w="378" w:type="dxa"/>
              <w:tblLayout w:type="fixed"/>
              <w:tblLook w:val="04A0" w:firstRow="1" w:lastRow="0" w:firstColumn="1" w:lastColumn="0" w:noHBand="0" w:noVBand="1"/>
            </w:tblPr>
            <w:tblGrid>
              <w:gridCol w:w="3454"/>
              <w:gridCol w:w="1620"/>
            </w:tblGrid>
            <w:tr w:rsidR="00580B36" w:rsidRPr="00580B36" w14:paraId="6C73C9BD" w14:textId="77777777" w:rsidTr="0021147B">
              <w:tc>
                <w:tcPr>
                  <w:tcW w:w="3454" w:type="dxa"/>
                  <w:shd w:val="clear" w:color="auto" w:fill="auto"/>
                </w:tcPr>
                <w:p w14:paraId="616CD393" w14:textId="6A61423F" w:rsidR="00580B36" w:rsidRPr="005141C4" w:rsidRDefault="00985ECC"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w:t>
                  </w:r>
                  <w:r w:rsidR="00F04FF6">
                    <w:rPr>
                      <w:rFonts w:ascii="Arial" w:hAnsi="Arial" w:cs="Arial"/>
                      <w:b/>
                      <w:bCs/>
                      <w:color w:val="55274E"/>
                      <w:sz w:val="20"/>
                      <w:szCs w:val="20"/>
                    </w:rPr>
                    <w:t>5</w:t>
                  </w:r>
                  <w:r>
                    <w:rPr>
                      <w:rFonts w:ascii="Arial" w:hAnsi="Arial" w:cs="Arial"/>
                      <w:b/>
                      <w:bCs/>
                      <w:color w:val="55274E"/>
                      <w:sz w:val="20"/>
                      <w:szCs w:val="20"/>
                    </w:rPr>
                    <w:t>% Seller Financing</w:t>
                  </w:r>
                </w:p>
              </w:tc>
              <w:tc>
                <w:tcPr>
                  <w:tcW w:w="1620" w:type="dxa"/>
                </w:tcPr>
                <w:p w14:paraId="26FDAA1C" w14:textId="0A2FF49A" w:rsidR="00580B36" w:rsidRPr="001F3977" w:rsidRDefault="00985ECC" w:rsidP="00580B36">
                  <w:pPr>
                    <w:tabs>
                      <w:tab w:val="right" w:pos="3912"/>
                      <w:tab w:val="left" w:pos="7920"/>
                    </w:tabs>
                    <w:rPr>
                      <w:rFonts w:ascii="Arial" w:hAnsi="Arial" w:cs="Arial"/>
                      <w:iCs/>
                      <w:sz w:val="20"/>
                      <w:szCs w:val="20"/>
                    </w:rPr>
                  </w:pPr>
                  <w:r>
                    <w:rPr>
                      <w:rFonts w:ascii="Arial" w:hAnsi="Arial" w:cs="Arial"/>
                      <w:iCs/>
                      <w:sz w:val="20"/>
                      <w:szCs w:val="20"/>
                    </w:rPr>
                    <w:t>$</w:t>
                  </w:r>
                  <w:r w:rsidR="00F04FF6">
                    <w:rPr>
                      <w:rFonts w:ascii="Arial" w:hAnsi="Arial" w:cs="Arial"/>
                      <w:iCs/>
                      <w:sz w:val="20"/>
                      <w:szCs w:val="20"/>
                    </w:rPr>
                    <w:t>656,250</w:t>
                  </w:r>
                </w:p>
              </w:tc>
            </w:tr>
            <w:tr w:rsidR="00F04FF6" w:rsidRPr="00580B36" w14:paraId="21E09DF9" w14:textId="77777777" w:rsidTr="0021147B">
              <w:tc>
                <w:tcPr>
                  <w:tcW w:w="3454" w:type="dxa"/>
                  <w:shd w:val="clear" w:color="auto" w:fill="auto"/>
                </w:tcPr>
                <w:p w14:paraId="310F4222" w14:textId="0D60FB22" w:rsidR="00F04FF6" w:rsidRPr="005141C4" w:rsidRDefault="00F04FF6" w:rsidP="00F04FF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Pr="005141C4">
                    <w:rPr>
                      <w:rFonts w:ascii="Arial" w:hAnsi="Arial" w:cs="Arial"/>
                      <w:b/>
                      <w:color w:val="55274E"/>
                      <w:sz w:val="20"/>
                      <w:szCs w:val="20"/>
                    </w:rPr>
                    <w:t>%</w:t>
                  </w:r>
                  <w:r>
                    <w:rPr>
                      <w:rFonts w:ascii="Arial" w:hAnsi="Arial" w:cs="Arial"/>
                      <w:b/>
                      <w:color w:val="55274E"/>
                      <w:sz w:val="20"/>
                      <w:szCs w:val="20"/>
                    </w:rPr>
                    <w:t xml:space="preserve"> Equity Roll </w:t>
                  </w:r>
                </w:p>
              </w:tc>
              <w:tc>
                <w:tcPr>
                  <w:tcW w:w="1620" w:type="dxa"/>
                </w:tcPr>
                <w:p w14:paraId="3168F08A" w14:textId="7FF97F7D" w:rsidR="00F04FF6" w:rsidRPr="001F3977" w:rsidRDefault="00F04FF6" w:rsidP="00F04FF6">
                  <w:pPr>
                    <w:tabs>
                      <w:tab w:val="right" w:pos="3912"/>
                      <w:tab w:val="left" w:pos="7920"/>
                    </w:tabs>
                    <w:rPr>
                      <w:rFonts w:ascii="Arial" w:hAnsi="Arial" w:cs="Arial"/>
                      <w:iCs/>
                      <w:sz w:val="20"/>
                      <w:szCs w:val="20"/>
                    </w:rPr>
                  </w:pPr>
                  <w:r>
                    <w:rPr>
                      <w:rFonts w:ascii="Arial" w:hAnsi="Arial" w:cs="Arial"/>
                      <w:iCs/>
                      <w:sz w:val="20"/>
                      <w:szCs w:val="20"/>
                    </w:rPr>
                    <w:t>$656,250</w:t>
                  </w:r>
                </w:p>
              </w:tc>
            </w:tr>
            <w:tr w:rsidR="00985ECC" w:rsidRPr="00580B36" w14:paraId="2295FD10" w14:textId="77777777" w:rsidTr="0021147B">
              <w:tc>
                <w:tcPr>
                  <w:tcW w:w="3454" w:type="dxa"/>
                  <w:shd w:val="clear" w:color="auto" w:fill="auto"/>
                </w:tcPr>
                <w:p w14:paraId="68C83EF1" w14:textId="55E9877F" w:rsidR="00985ECC" w:rsidRDefault="00985ECC"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7</w:t>
                  </w:r>
                  <w:r w:rsidR="00F04FF6">
                    <w:rPr>
                      <w:rFonts w:ascii="Arial" w:hAnsi="Arial" w:cs="Arial"/>
                      <w:b/>
                      <w:color w:val="55274E"/>
                      <w:sz w:val="20"/>
                      <w:szCs w:val="20"/>
                    </w:rPr>
                    <w:t>0</w:t>
                  </w:r>
                  <w:r>
                    <w:rPr>
                      <w:rFonts w:ascii="Arial" w:hAnsi="Arial" w:cs="Arial"/>
                      <w:b/>
                      <w:color w:val="55274E"/>
                      <w:sz w:val="20"/>
                      <w:szCs w:val="20"/>
                    </w:rPr>
                    <w:t>% Financing and Buyer Cash</w:t>
                  </w:r>
                </w:p>
              </w:tc>
              <w:tc>
                <w:tcPr>
                  <w:tcW w:w="1620" w:type="dxa"/>
                </w:tcPr>
                <w:p w14:paraId="65239EF5" w14:textId="08D82475" w:rsidR="00985ECC" w:rsidRPr="001F3977" w:rsidRDefault="00985ECC" w:rsidP="00580B36">
                  <w:pPr>
                    <w:tabs>
                      <w:tab w:val="right" w:pos="3912"/>
                      <w:tab w:val="left" w:pos="7920"/>
                    </w:tabs>
                    <w:rPr>
                      <w:rFonts w:ascii="Arial" w:hAnsi="Arial" w:cs="Arial"/>
                      <w:iCs/>
                      <w:sz w:val="20"/>
                      <w:szCs w:val="20"/>
                    </w:rPr>
                  </w:pPr>
                  <w:r>
                    <w:rPr>
                      <w:rFonts w:ascii="Arial" w:hAnsi="Arial" w:cs="Arial"/>
                      <w:iCs/>
                      <w:sz w:val="20"/>
                      <w:szCs w:val="20"/>
                    </w:rPr>
                    <w:t>$3,</w:t>
                  </w:r>
                  <w:r w:rsidR="00F04FF6">
                    <w:rPr>
                      <w:rFonts w:ascii="Arial" w:hAnsi="Arial" w:cs="Arial"/>
                      <w:iCs/>
                      <w:sz w:val="20"/>
                      <w:szCs w:val="20"/>
                    </w:rPr>
                    <w:t>062,500</w:t>
                  </w:r>
                </w:p>
              </w:tc>
            </w:tr>
          </w:tbl>
          <w:p w14:paraId="1CB207B8" w14:textId="77777777" w:rsidR="00580B36" w:rsidRPr="00C707B4" w:rsidRDefault="00580B36" w:rsidP="006562BE">
            <w:pPr>
              <w:tabs>
                <w:tab w:val="right" w:pos="3600"/>
                <w:tab w:val="left" w:pos="7920"/>
              </w:tabs>
              <w:rPr>
                <w:rFonts w:ascii="Arial" w:hAnsi="Arial" w:cs="Arial"/>
                <w:b/>
                <w:iCs/>
                <w:sz w:val="28"/>
                <w:szCs w:val="28"/>
              </w:rPr>
            </w:pPr>
          </w:p>
          <w:p w14:paraId="74DEEB8B" w14:textId="77777777" w:rsidR="00580B36" w:rsidRPr="006562BE" w:rsidRDefault="00580B36" w:rsidP="0021147B">
            <w:pPr>
              <w:tabs>
                <w:tab w:val="right" w:pos="5670"/>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38AA6C83" w14:textId="77777777" w:rsidR="0021147B" w:rsidRPr="0021147B" w:rsidRDefault="0021147B" w:rsidP="008A42EF">
            <w:pPr>
              <w:pStyle w:val="BodyText"/>
              <w:rPr>
                <w:b w:val="0"/>
                <w:bCs/>
                <w:i w:val="0"/>
                <w:iCs/>
                <w:sz w:val="12"/>
                <w:szCs w:val="12"/>
              </w:rPr>
            </w:pPr>
          </w:p>
          <w:p w14:paraId="4546C5E5" w14:textId="77777777" w:rsidR="009C50A8" w:rsidRDefault="0060484F" w:rsidP="00D801D2">
            <w:pPr>
              <w:pStyle w:val="BodyText"/>
              <w:ind w:left="90"/>
              <w:rPr>
                <w:b w:val="0"/>
                <w:bCs/>
                <w:i w:val="0"/>
                <w:iCs/>
                <w:sz w:val="20"/>
                <w:szCs w:val="20"/>
              </w:rPr>
            </w:pPr>
            <w:r>
              <w:rPr>
                <w:b w:val="0"/>
                <w:bCs/>
                <w:i w:val="0"/>
                <w:iCs/>
                <w:sz w:val="20"/>
                <w:szCs w:val="20"/>
              </w:rPr>
              <w:t xml:space="preserve">This architecture firm is poised for a merger with over $4 million in backlog for their nationwide client base! The current owner handles general oversight of the business’s operations and has offered a five-year transition period as well as a 30% holdback. Seeing as the industry average for seller financing or holdback is 10%, this elevated offer is not only a show of good faith in the ongoing success of the business, it shows the seller’s ongoing vested interest in the financial success of the business after sale. With over 15 years of experience under their belt, </w:t>
            </w:r>
            <w:r w:rsidR="00D801D2">
              <w:rPr>
                <w:b w:val="0"/>
                <w:bCs/>
                <w:i w:val="0"/>
                <w:iCs/>
                <w:sz w:val="20"/>
                <w:szCs w:val="20"/>
              </w:rPr>
              <w:t xml:space="preserve">this industry leading team primarily works with both higher education and K-12 educational institutions as well as multifamily housing units and hospitals. Their team consists of 31 employees including 2 SVP’s, 1 CFO, several architects, interior designers, and administrators. </w:t>
            </w:r>
            <w:r w:rsidR="0070729D">
              <w:rPr>
                <w:b w:val="0"/>
                <w:bCs/>
                <w:i w:val="0"/>
                <w:iCs/>
                <w:sz w:val="20"/>
                <w:szCs w:val="20"/>
              </w:rPr>
              <w:t xml:space="preserve">Based in New York City, this business has been able to accumulate an excellent reputation spurred on by happy clients which has led to a solid referral pipeline of for new customers. </w:t>
            </w:r>
          </w:p>
          <w:p w14:paraId="17CB70A7" w14:textId="77777777" w:rsidR="0070729D" w:rsidRDefault="0070729D" w:rsidP="00D801D2">
            <w:pPr>
              <w:pStyle w:val="BodyText"/>
              <w:ind w:left="90"/>
              <w:rPr>
                <w:b w:val="0"/>
                <w:bCs/>
                <w:i w:val="0"/>
                <w:iCs/>
                <w:sz w:val="20"/>
                <w:szCs w:val="20"/>
              </w:rPr>
            </w:pPr>
          </w:p>
          <w:p w14:paraId="6811D182" w14:textId="0FDF5D82" w:rsidR="0070729D" w:rsidRDefault="0070729D" w:rsidP="00D801D2">
            <w:pPr>
              <w:pStyle w:val="BodyText"/>
              <w:ind w:left="90"/>
              <w:rPr>
                <w:b w:val="0"/>
                <w:bCs/>
                <w:i w:val="0"/>
                <w:iCs/>
                <w:sz w:val="20"/>
                <w:szCs w:val="20"/>
              </w:rPr>
            </w:pPr>
            <w:r>
              <w:rPr>
                <w:b w:val="0"/>
                <w:bCs/>
                <w:i w:val="0"/>
                <w:iCs/>
                <w:sz w:val="20"/>
                <w:szCs w:val="20"/>
              </w:rPr>
              <w:t xml:space="preserve">This business currently only has hospital clients making up roughly 10% of their customer base and with their current team, resources, and connections this would be an excellent opportunity for growth. </w:t>
            </w:r>
            <w:r w:rsidR="004F1199">
              <w:rPr>
                <w:b w:val="0"/>
                <w:bCs/>
                <w:i w:val="0"/>
                <w:iCs/>
                <w:sz w:val="20"/>
                <w:szCs w:val="20"/>
              </w:rPr>
              <w:t>A strategic n</w:t>
            </w:r>
            <w:r>
              <w:rPr>
                <w:b w:val="0"/>
                <w:bCs/>
                <w:i w:val="0"/>
                <w:iCs/>
                <w:sz w:val="20"/>
                <w:szCs w:val="20"/>
              </w:rPr>
              <w:t>ew owne</w:t>
            </w:r>
            <w:r w:rsidR="004F1199">
              <w:rPr>
                <w:b w:val="0"/>
                <w:bCs/>
                <w:i w:val="0"/>
                <w:iCs/>
                <w:sz w:val="20"/>
                <w:szCs w:val="20"/>
              </w:rPr>
              <w:t>r with experience in the architecture and engineering field</w:t>
            </w:r>
            <w:r>
              <w:rPr>
                <w:b w:val="0"/>
                <w:bCs/>
                <w:i w:val="0"/>
                <w:iCs/>
                <w:sz w:val="20"/>
                <w:szCs w:val="20"/>
              </w:rPr>
              <w:t xml:space="preserve"> would not only get 5 years </w:t>
            </w:r>
            <w:r w:rsidR="00C270AD">
              <w:rPr>
                <w:b w:val="0"/>
                <w:bCs/>
                <w:i w:val="0"/>
                <w:iCs/>
                <w:sz w:val="20"/>
                <w:szCs w:val="20"/>
              </w:rPr>
              <w:t xml:space="preserve">to </w:t>
            </w:r>
            <w:r w:rsidR="004F1199">
              <w:rPr>
                <w:b w:val="0"/>
                <w:bCs/>
                <w:i w:val="0"/>
                <w:iCs/>
                <w:sz w:val="20"/>
                <w:szCs w:val="20"/>
              </w:rPr>
              <w:t xml:space="preserve">fully </w:t>
            </w:r>
            <w:r w:rsidR="00C270AD">
              <w:rPr>
                <w:b w:val="0"/>
                <w:bCs/>
                <w:i w:val="0"/>
                <w:iCs/>
                <w:sz w:val="20"/>
                <w:szCs w:val="20"/>
              </w:rPr>
              <w:t>transition into the business</w:t>
            </w:r>
            <w:r w:rsidR="004F1199">
              <w:rPr>
                <w:b w:val="0"/>
                <w:bCs/>
                <w:i w:val="0"/>
                <w:iCs/>
                <w:sz w:val="20"/>
                <w:szCs w:val="20"/>
              </w:rPr>
              <w:t xml:space="preserve"> and a foot into the New York market</w:t>
            </w:r>
            <w:r w:rsidR="00C270AD">
              <w:rPr>
                <w:b w:val="0"/>
                <w:bCs/>
                <w:i w:val="0"/>
                <w:iCs/>
                <w:sz w:val="20"/>
                <w:szCs w:val="20"/>
              </w:rPr>
              <w:t xml:space="preserve">, the business also includes over $1 million worth of assets to continue operating as it has been. The current owner is looking to retire in the next 5-7 years, which is why now is an excellent time for a strategic buyer to step into the business and build on the current growth patterns and opportunities. </w:t>
            </w:r>
          </w:p>
          <w:p w14:paraId="141FD984" w14:textId="77777777" w:rsidR="00C270AD" w:rsidRDefault="00C270AD" w:rsidP="00D801D2">
            <w:pPr>
              <w:pStyle w:val="BodyText"/>
              <w:ind w:left="90"/>
              <w:rPr>
                <w:b w:val="0"/>
                <w:bCs/>
                <w:i w:val="0"/>
                <w:iCs/>
                <w:sz w:val="20"/>
                <w:szCs w:val="20"/>
              </w:rPr>
            </w:pPr>
          </w:p>
          <w:p w14:paraId="6555514E" w14:textId="77777777" w:rsidR="00C270AD" w:rsidRDefault="00C270AD" w:rsidP="00D801D2">
            <w:pPr>
              <w:pStyle w:val="BodyText"/>
              <w:ind w:left="90"/>
              <w:rPr>
                <w:b w:val="0"/>
                <w:bCs/>
                <w:i w:val="0"/>
                <w:iCs/>
                <w:sz w:val="20"/>
                <w:szCs w:val="20"/>
              </w:rPr>
            </w:pPr>
            <w:r>
              <w:rPr>
                <w:b w:val="0"/>
                <w:bCs/>
                <w:i w:val="0"/>
                <w:iCs/>
                <w:sz w:val="20"/>
                <w:szCs w:val="20"/>
              </w:rPr>
              <w:t xml:space="preserve">Priced at </w:t>
            </w:r>
            <w:r w:rsidRPr="004F1199">
              <w:rPr>
                <w:i w:val="0"/>
                <w:iCs/>
                <w:color w:val="55274E"/>
                <w:sz w:val="20"/>
                <w:szCs w:val="20"/>
              </w:rPr>
              <w:t>$4,375,000</w:t>
            </w:r>
            <w:r w:rsidRPr="004F1199">
              <w:rPr>
                <w:b w:val="0"/>
                <w:bCs/>
                <w:i w:val="0"/>
                <w:iCs/>
                <w:color w:val="55274E"/>
                <w:sz w:val="20"/>
                <w:szCs w:val="20"/>
              </w:rPr>
              <w:t xml:space="preserve"> </w:t>
            </w:r>
            <w:r>
              <w:rPr>
                <w:b w:val="0"/>
                <w:bCs/>
                <w:i w:val="0"/>
                <w:iCs/>
                <w:sz w:val="20"/>
                <w:szCs w:val="20"/>
              </w:rPr>
              <w:t xml:space="preserve">this business is primed to return year over year success to </w:t>
            </w:r>
            <w:r w:rsidR="004F1199">
              <w:rPr>
                <w:b w:val="0"/>
                <w:bCs/>
                <w:i w:val="0"/>
                <w:iCs/>
                <w:sz w:val="20"/>
                <w:szCs w:val="20"/>
              </w:rPr>
              <w:t xml:space="preserve">anyone in a related industry. Someone that knows how to operate in this field would be able to not only enjoy the expected organic growth pattern brought forward by the world’s focus on education and building new opportunities, but put forth new growth opportunities without having to utilize exponential resources on accumulating additional assets. </w:t>
            </w:r>
          </w:p>
          <w:p w14:paraId="2DCC836F" w14:textId="37B99351" w:rsidR="004F1199" w:rsidRPr="00580B36" w:rsidRDefault="004F1199" w:rsidP="00D801D2">
            <w:pPr>
              <w:pStyle w:val="BodyText"/>
              <w:ind w:left="90"/>
              <w:rPr>
                <w:b w:val="0"/>
                <w:bCs/>
                <w:i w:val="0"/>
                <w:iCs/>
                <w:sz w:val="20"/>
                <w:szCs w:val="20"/>
              </w:rPr>
            </w:pPr>
          </w:p>
        </w:tc>
      </w:tr>
      <w:tr w:rsidR="00580B36" w14:paraId="2F03E857" w14:textId="77777777" w:rsidTr="0070729D">
        <w:trPr>
          <w:trHeight w:val="1440"/>
        </w:trPr>
        <w:tc>
          <w:tcPr>
            <w:tcW w:w="468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16F320DD" w14:textId="5F3D4265" w:rsidR="00580B36" w:rsidRPr="00BF6CFA" w:rsidRDefault="0052174A" w:rsidP="0052174A">
            <w:pPr>
              <w:tabs>
                <w:tab w:val="left" w:pos="7920"/>
              </w:tabs>
              <w:spacing w:before="60"/>
              <w:rPr>
                <w:rFonts w:ascii="Arial" w:hAnsi="Arial" w:cs="Arial"/>
                <w:b/>
                <w:bCs/>
                <w:color w:val="55274E"/>
                <w:szCs w:val="20"/>
                <w:u w:val="single" w:color="55274E"/>
              </w:rPr>
            </w:pPr>
            <w:r w:rsidRPr="0052174A">
              <w:rPr>
                <w:rFonts w:ascii="Arial" w:hAnsi="Arial" w:cs="Arial"/>
                <w:b/>
                <w:bCs/>
                <w:i/>
                <w:iCs/>
                <w:color w:val="55274E"/>
                <w:szCs w:val="20"/>
                <w:u w:val="single" w:color="55274E"/>
              </w:rPr>
              <w:t>Assets Included in Purchase:</w:t>
            </w:r>
            <w:r w:rsidR="006A78FB">
              <w:rPr>
                <w:rFonts w:ascii="Arial" w:hAnsi="Arial" w:cs="Arial"/>
                <w:b/>
                <w:bCs/>
                <w:i/>
                <w:iCs/>
                <w:color w:val="55274E"/>
                <w:szCs w:val="20"/>
                <w:u w:val="single" w:color="55274E"/>
              </w:rPr>
              <w:t xml:space="preserve"> </w:t>
            </w:r>
            <w:r w:rsidRPr="0052174A">
              <w:rPr>
                <w:rFonts w:ascii="Arial" w:hAnsi="Arial" w:cs="Arial"/>
                <w:b/>
                <w:bCs/>
                <w:i/>
                <w:iCs/>
                <w:color w:val="55274E"/>
                <w:szCs w:val="20"/>
                <w:u w:val="single" w:color="55274E"/>
              </w:rPr>
              <w:t xml:space="preserve"> </w:t>
            </w:r>
            <w:r w:rsidRPr="00BF6CFA">
              <w:rPr>
                <w:rFonts w:ascii="Arial" w:hAnsi="Arial" w:cs="Arial"/>
                <w:b/>
                <w:bCs/>
                <w:color w:val="55274E"/>
                <w:szCs w:val="20"/>
                <w:u w:val="single" w:color="55274E"/>
              </w:rPr>
              <w:t>$</w:t>
            </w:r>
            <w:r w:rsidR="006A78FB">
              <w:rPr>
                <w:rFonts w:ascii="Arial" w:hAnsi="Arial" w:cs="Arial"/>
                <w:b/>
                <w:bCs/>
                <w:color w:val="55274E"/>
                <w:szCs w:val="20"/>
                <w:u w:val="single" w:color="55274E"/>
              </w:rPr>
              <w:t xml:space="preserve">5,252,000    </w:t>
            </w:r>
            <w:r w:rsidR="006A78FB" w:rsidRPr="006A78FB">
              <w:rPr>
                <w:rFonts w:ascii="Arial" w:hAnsi="Arial" w:cs="Arial"/>
                <w:b/>
                <w:bCs/>
                <w:color w:val="FFFFFF" w:themeColor="background1"/>
                <w:szCs w:val="20"/>
                <w:u w:val="single" w:color="55274E"/>
              </w:rPr>
              <w:t>b</w:t>
            </w:r>
            <w:r w:rsidR="006A78FB">
              <w:rPr>
                <w:rFonts w:ascii="Arial" w:hAnsi="Arial" w:cs="Arial"/>
                <w:b/>
                <w:bCs/>
                <w:color w:val="55274E"/>
                <w:szCs w:val="20"/>
                <w:u w:val="single" w:color="55274E"/>
              </w:rPr>
              <w:t xml:space="preserve">  </w:t>
            </w:r>
          </w:p>
          <w:p w14:paraId="3F6A9714" w14:textId="12255E10" w:rsidR="0052174A" w:rsidRPr="006A78FB" w:rsidRDefault="00602C33" w:rsidP="006A78FB">
            <w:pPr>
              <w:pStyle w:val="ListParagraph"/>
              <w:numPr>
                <w:ilvl w:val="0"/>
                <w:numId w:val="1"/>
              </w:numPr>
              <w:tabs>
                <w:tab w:val="left" w:pos="7920"/>
              </w:tabs>
              <w:spacing w:before="60" w:line="276" w:lineRule="auto"/>
              <w:rPr>
                <w:rFonts w:ascii="Arial" w:hAnsi="Arial" w:cs="Arial"/>
                <w:b/>
                <w:bCs/>
                <w:iCs/>
                <w:sz w:val="20"/>
                <w:szCs w:val="20"/>
              </w:rPr>
            </w:pPr>
            <w:r w:rsidRPr="006A78FB">
              <w:rPr>
                <w:rFonts w:ascii="Arial" w:hAnsi="Arial" w:cs="Arial"/>
                <w:b/>
                <w:bCs/>
                <w:iCs/>
                <w:sz w:val="20"/>
                <w:szCs w:val="20"/>
              </w:rPr>
              <w:t xml:space="preserve">AR: </w:t>
            </w:r>
            <w:r w:rsidRPr="006A78FB">
              <w:rPr>
                <w:rFonts w:ascii="Arial" w:hAnsi="Arial" w:cs="Arial"/>
                <w:iCs/>
                <w:sz w:val="20"/>
                <w:szCs w:val="20"/>
              </w:rPr>
              <w:t>$</w:t>
            </w:r>
            <w:r w:rsidR="006A78FB">
              <w:rPr>
                <w:rFonts w:ascii="Arial" w:hAnsi="Arial" w:cs="Arial"/>
                <w:iCs/>
                <w:sz w:val="20"/>
                <w:szCs w:val="20"/>
              </w:rPr>
              <w:t>705</w:t>
            </w:r>
            <w:r w:rsidRPr="006A78FB">
              <w:rPr>
                <w:rFonts w:ascii="Arial" w:hAnsi="Arial" w:cs="Arial"/>
                <w:iCs/>
                <w:sz w:val="20"/>
                <w:szCs w:val="20"/>
              </w:rPr>
              <w:t>,000</w:t>
            </w:r>
          </w:p>
          <w:p w14:paraId="4ABB01A8" w14:textId="77777777" w:rsidR="00602C33" w:rsidRPr="006A78FB" w:rsidRDefault="00602C33" w:rsidP="006A78FB">
            <w:pPr>
              <w:pStyle w:val="ListParagraph"/>
              <w:numPr>
                <w:ilvl w:val="0"/>
                <w:numId w:val="1"/>
              </w:numPr>
              <w:tabs>
                <w:tab w:val="left" w:pos="7920"/>
              </w:tabs>
              <w:spacing w:before="60" w:line="276" w:lineRule="auto"/>
              <w:rPr>
                <w:rFonts w:ascii="Arial" w:hAnsi="Arial" w:cs="Arial"/>
                <w:b/>
                <w:bCs/>
                <w:iCs/>
                <w:sz w:val="20"/>
                <w:szCs w:val="20"/>
              </w:rPr>
            </w:pPr>
            <w:r w:rsidRPr="006A78FB">
              <w:rPr>
                <w:rFonts w:ascii="Arial" w:hAnsi="Arial" w:cs="Arial"/>
                <w:b/>
                <w:bCs/>
                <w:iCs/>
                <w:sz w:val="20"/>
                <w:szCs w:val="20"/>
              </w:rPr>
              <w:t xml:space="preserve">FFE: </w:t>
            </w:r>
            <w:r w:rsidRPr="006A78FB">
              <w:rPr>
                <w:rFonts w:ascii="Arial" w:hAnsi="Arial" w:cs="Arial"/>
                <w:iCs/>
                <w:sz w:val="20"/>
                <w:szCs w:val="20"/>
              </w:rPr>
              <w:t>$447,000</w:t>
            </w:r>
          </w:p>
          <w:p w14:paraId="2C7BF867" w14:textId="51A921A9" w:rsidR="00602C33" w:rsidRPr="006A78FB" w:rsidRDefault="00602C33" w:rsidP="006A78FB">
            <w:pPr>
              <w:pStyle w:val="ListParagraph"/>
              <w:numPr>
                <w:ilvl w:val="0"/>
                <w:numId w:val="1"/>
              </w:numPr>
              <w:tabs>
                <w:tab w:val="left" w:pos="7920"/>
              </w:tabs>
              <w:spacing w:before="60" w:line="276" w:lineRule="auto"/>
              <w:rPr>
                <w:rFonts w:ascii="Arial" w:hAnsi="Arial" w:cs="Arial"/>
                <w:iCs/>
                <w:sz w:val="20"/>
                <w:szCs w:val="20"/>
              </w:rPr>
            </w:pPr>
            <w:r w:rsidRPr="006A78FB">
              <w:rPr>
                <w:rFonts w:ascii="Arial" w:hAnsi="Arial" w:cs="Arial"/>
                <w:b/>
                <w:bCs/>
                <w:iCs/>
                <w:sz w:val="20"/>
                <w:szCs w:val="20"/>
              </w:rPr>
              <w:t xml:space="preserve">Backlog: </w:t>
            </w:r>
            <w:r w:rsidRPr="006A78FB">
              <w:rPr>
                <w:rFonts w:ascii="Arial" w:hAnsi="Arial" w:cs="Arial"/>
                <w:iCs/>
                <w:sz w:val="20"/>
                <w:szCs w:val="20"/>
              </w:rPr>
              <w:t>$</w:t>
            </w:r>
            <w:r w:rsidR="006A78FB">
              <w:rPr>
                <w:rFonts w:ascii="Arial" w:hAnsi="Arial" w:cs="Arial"/>
                <w:iCs/>
                <w:sz w:val="20"/>
                <w:szCs w:val="20"/>
              </w:rPr>
              <w:t>4,100,000</w:t>
            </w:r>
          </w:p>
        </w:tc>
        <w:tc>
          <w:tcPr>
            <w:tcW w:w="36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70729D">
        <w:trPr>
          <w:trHeight w:val="5175"/>
        </w:trPr>
        <w:tc>
          <w:tcPr>
            <w:tcW w:w="468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4F1199" w:rsidRDefault="00580B36" w:rsidP="00580B36">
            <w:pPr>
              <w:tabs>
                <w:tab w:val="right" w:pos="5082"/>
                <w:tab w:val="left" w:pos="7920"/>
              </w:tabs>
              <w:rPr>
                <w:rFonts w:ascii="Arial" w:hAnsi="Arial" w:cs="Arial"/>
                <w:b/>
                <w:bCs/>
                <w:i/>
                <w:iCs/>
                <w:color w:val="55274E"/>
                <w:szCs w:val="20"/>
                <w:u w:val="single" w:color="55274E"/>
              </w:rPr>
            </w:pPr>
            <w:r w:rsidRPr="004F1199">
              <w:rPr>
                <w:rFonts w:ascii="Arial" w:hAnsi="Arial" w:cs="Arial"/>
                <w:b/>
                <w:bCs/>
                <w:i/>
                <w:iCs/>
                <w:color w:val="55274E"/>
                <w:szCs w:val="20"/>
                <w:u w:val="single" w:color="55274E"/>
              </w:rPr>
              <w:t>Business Information</w:t>
            </w:r>
            <w:r w:rsidRPr="004F1199">
              <w:rPr>
                <w:rFonts w:ascii="Arial" w:hAnsi="Arial" w:cs="Arial"/>
                <w:b/>
                <w:bCs/>
                <w:i/>
                <w:iCs/>
                <w:color w:val="55274E"/>
                <w:szCs w:val="20"/>
                <w:u w:val="single" w:color="55274E"/>
              </w:rPr>
              <w:tab/>
            </w:r>
          </w:p>
          <w:p w14:paraId="46B1487B" w14:textId="7D425AAB"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bookmarkStart w:id="0" w:name="_Hlk43821675"/>
            <w:r w:rsidRPr="006A78FB">
              <w:rPr>
                <w:rFonts w:ascii="Arial" w:hAnsi="Arial" w:cs="Arial"/>
                <w:b/>
                <w:iCs/>
                <w:sz w:val="20"/>
                <w:szCs w:val="20"/>
              </w:rPr>
              <w:t>Year</w:t>
            </w:r>
            <w:r w:rsidR="000B2E0D" w:rsidRPr="006A78FB">
              <w:rPr>
                <w:rFonts w:ascii="Arial" w:hAnsi="Arial" w:cs="Arial"/>
                <w:b/>
                <w:iCs/>
                <w:sz w:val="20"/>
                <w:szCs w:val="20"/>
              </w:rPr>
              <w:t>s</w:t>
            </w:r>
            <w:r w:rsidRPr="006A78FB">
              <w:rPr>
                <w:rFonts w:ascii="Arial" w:hAnsi="Arial" w:cs="Arial"/>
                <w:b/>
                <w:iCs/>
                <w:sz w:val="20"/>
                <w:szCs w:val="20"/>
              </w:rPr>
              <w:t xml:space="preserve"> Establishe</w:t>
            </w:r>
            <w:r w:rsidRPr="006A78FB">
              <w:rPr>
                <w:rFonts w:ascii="Arial" w:hAnsi="Arial" w:cs="Arial"/>
                <w:bCs/>
                <w:iCs/>
                <w:sz w:val="20"/>
                <w:szCs w:val="20"/>
              </w:rPr>
              <w:t xml:space="preserve">d: </w:t>
            </w:r>
            <w:r w:rsidR="00602C33" w:rsidRPr="006A78FB">
              <w:rPr>
                <w:rFonts w:ascii="Arial" w:hAnsi="Arial" w:cs="Arial"/>
                <w:bCs/>
                <w:iCs/>
                <w:sz w:val="20"/>
                <w:szCs w:val="20"/>
              </w:rPr>
              <w:t>1</w:t>
            </w:r>
            <w:r w:rsidR="00F04FF6" w:rsidRPr="006A78FB">
              <w:rPr>
                <w:rFonts w:ascii="Arial" w:hAnsi="Arial" w:cs="Arial"/>
                <w:bCs/>
                <w:iCs/>
                <w:sz w:val="20"/>
                <w:szCs w:val="20"/>
              </w:rPr>
              <w:t>5+ years</w:t>
            </w:r>
          </w:p>
          <w:p w14:paraId="1A366C2E" w14:textId="1F502A11"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Location</w:t>
            </w:r>
            <w:r w:rsidRPr="006A78FB">
              <w:rPr>
                <w:rFonts w:ascii="Arial" w:hAnsi="Arial" w:cs="Arial"/>
                <w:bCs/>
                <w:iCs/>
                <w:sz w:val="20"/>
                <w:szCs w:val="20"/>
              </w:rPr>
              <w:t xml:space="preserve">: </w:t>
            </w:r>
            <w:r w:rsidR="00F04FF6" w:rsidRPr="006A78FB">
              <w:rPr>
                <w:rFonts w:ascii="Arial" w:hAnsi="Arial" w:cs="Arial"/>
                <w:bCs/>
                <w:iCs/>
                <w:sz w:val="20"/>
                <w:szCs w:val="20"/>
              </w:rPr>
              <w:t>New York City</w:t>
            </w:r>
          </w:p>
          <w:p w14:paraId="4788AB5F" w14:textId="305EE3B8" w:rsidR="000222A0"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Service Area</w:t>
            </w:r>
            <w:r w:rsidRPr="006A78FB">
              <w:rPr>
                <w:rFonts w:ascii="Arial" w:hAnsi="Arial" w:cs="Arial"/>
                <w:bCs/>
                <w:iCs/>
                <w:sz w:val="20"/>
                <w:szCs w:val="20"/>
              </w:rPr>
              <w:t xml:space="preserve">: </w:t>
            </w:r>
            <w:r w:rsidR="00F04FF6" w:rsidRPr="006A78FB">
              <w:rPr>
                <w:rFonts w:ascii="Arial" w:hAnsi="Arial" w:cs="Arial"/>
                <w:bCs/>
                <w:iCs/>
                <w:sz w:val="20"/>
                <w:szCs w:val="20"/>
              </w:rPr>
              <w:t>Nationwide</w:t>
            </w:r>
          </w:p>
          <w:p w14:paraId="31ABD66D" w14:textId="508F403E"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Services</w:t>
            </w:r>
            <w:r w:rsidRPr="006A78FB">
              <w:rPr>
                <w:rFonts w:ascii="Arial" w:hAnsi="Arial" w:cs="Arial"/>
                <w:bCs/>
                <w:iCs/>
                <w:sz w:val="20"/>
                <w:szCs w:val="20"/>
              </w:rPr>
              <w:t xml:space="preserve">: </w:t>
            </w:r>
            <w:r w:rsidR="00F04FF6" w:rsidRPr="006A78FB">
              <w:rPr>
                <w:rFonts w:ascii="Arial" w:hAnsi="Arial" w:cs="Arial"/>
                <w:bCs/>
                <w:iCs/>
                <w:sz w:val="20"/>
                <w:szCs w:val="20"/>
              </w:rPr>
              <w:t>H</w:t>
            </w:r>
            <w:r w:rsidR="00F62E04" w:rsidRPr="006A78FB">
              <w:rPr>
                <w:rFonts w:ascii="Arial" w:hAnsi="Arial" w:cs="Arial"/>
                <w:bCs/>
                <w:iCs/>
                <w:sz w:val="20"/>
                <w:szCs w:val="20"/>
              </w:rPr>
              <w:t>igher education</w:t>
            </w:r>
            <w:r w:rsidR="001F786F" w:rsidRPr="006A78FB">
              <w:rPr>
                <w:rFonts w:ascii="Arial" w:hAnsi="Arial" w:cs="Arial"/>
                <w:bCs/>
                <w:iCs/>
                <w:sz w:val="20"/>
                <w:szCs w:val="20"/>
              </w:rPr>
              <w:t xml:space="preserve"> (30%)</w:t>
            </w:r>
            <w:r w:rsidR="00F62E04" w:rsidRPr="006A78FB">
              <w:rPr>
                <w:rFonts w:ascii="Arial" w:hAnsi="Arial" w:cs="Arial"/>
                <w:bCs/>
                <w:iCs/>
                <w:sz w:val="20"/>
                <w:szCs w:val="20"/>
              </w:rPr>
              <w:t>, K-12 education</w:t>
            </w:r>
            <w:r w:rsidR="001F786F" w:rsidRPr="006A78FB">
              <w:rPr>
                <w:rFonts w:ascii="Arial" w:hAnsi="Arial" w:cs="Arial"/>
                <w:bCs/>
                <w:iCs/>
                <w:sz w:val="20"/>
                <w:szCs w:val="20"/>
              </w:rPr>
              <w:t xml:space="preserve"> (30%)</w:t>
            </w:r>
            <w:r w:rsidR="00F62E04" w:rsidRPr="006A78FB">
              <w:rPr>
                <w:rFonts w:ascii="Arial" w:hAnsi="Arial" w:cs="Arial"/>
                <w:bCs/>
                <w:iCs/>
                <w:sz w:val="20"/>
                <w:szCs w:val="20"/>
              </w:rPr>
              <w:t>,</w:t>
            </w:r>
            <w:r w:rsidR="001F786F" w:rsidRPr="006A78FB">
              <w:rPr>
                <w:rFonts w:ascii="Arial" w:hAnsi="Arial" w:cs="Arial"/>
                <w:bCs/>
                <w:iCs/>
                <w:sz w:val="20"/>
                <w:szCs w:val="20"/>
              </w:rPr>
              <w:t xml:space="preserve"> </w:t>
            </w:r>
            <w:r w:rsidR="00F62E04" w:rsidRPr="006A78FB">
              <w:rPr>
                <w:rFonts w:ascii="Arial" w:hAnsi="Arial" w:cs="Arial"/>
                <w:bCs/>
                <w:iCs/>
                <w:sz w:val="20"/>
                <w:szCs w:val="20"/>
              </w:rPr>
              <w:t>multifamily housing</w:t>
            </w:r>
            <w:r w:rsidR="001F786F" w:rsidRPr="006A78FB">
              <w:rPr>
                <w:rFonts w:ascii="Arial" w:hAnsi="Arial" w:cs="Arial"/>
                <w:bCs/>
                <w:iCs/>
                <w:sz w:val="20"/>
                <w:szCs w:val="20"/>
              </w:rPr>
              <w:t xml:space="preserve"> (30%), and hospitals (10%)</w:t>
            </w:r>
            <w:r w:rsidR="00F62E04" w:rsidRPr="006A78FB">
              <w:rPr>
                <w:rFonts w:ascii="Arial" w:hAnsi="Arial" w:cs="Arial"/>
                <w:bCs/>
                <w:iCs/>
                <w:sz w:val="20"/>
                <w:szCs w:val="20"/>
              </w:rPr>
              <w:t>.</w:t>
            </w:r>
          </w:p>
          <w:p w14:paraId="364D607D" w14:textId="536D37B9"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Reason for Selling</w:t>
            </w:r>
            <w:r w:rsidRPr="006A78FB">
              <w:rPr>
                <w:rFonts w:ascii="Arial" w:hAnsi="Arial" w:cs="Arial"/>
                <w:bCs/>
                <w:iCs/>
                <w:sz w:val="20"/>
                <w:szCs w:val="20"/>
              </w:rPr>
              <w:t xml:space="preserve">: </w:t>
            </w:r>
            <w:r w:rsidR="00441D8F" w:rsidRPr="006A78FB">
              <w:rPr>
                <w:rFonts w:ascii="Arial" w:hAnsi="Arial" w:cs="Arial"/>
                <w:bCs/>
                <w:iCs/>
                <w:sz w:val="20"/>
                <w:szCs w:val="20"/>
              </w:rPr>
              <w:t>Retiring</w:t>
            </w:r>
          </w:p>
          <w:p w14:paraId="517B5C5F" w14:textId="33A24147"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Personnel</w:t>
            </w:r>
            <w:r w:rsidRPr="006A78FB">
              <w:rPr>
                <w:rFonts w:ascii="Arial" w:hAnsi="Arial" w:cs="Arial"/>
                <w:bCs/>
                <w:iCs/>
                <w:sz w:val="20"/>
                <w:szCs w:val="20"/>
              </w:rPr>
              <w:t>:</w:t>
            </w:r>
            <w:r w:rsidR="00F04FF6" w:rsidRPr="006A78FB">
              <w:rPr>
                <w:rFonts w:ascii="Arial" w:hAnsi="Arial" w:cs="Arial"/>
                <w:bCs/>
                <w:iCs/>
                <w:sz w:val="20"/>
                <w:szCs w:val="20"/>
              </w:rPr>
              <w:t xml:space="preserve"> 31</w:t>
            </w:r>
            <w:r w:rsidR="00F62E04" w:rsidRPr="006A78FB">
              <w:rPr>
                <w:rFonts w:ascii="Arial" w:hAnsi="Arial" w:cs="Arial"/>
                <w:bCs/>
                <w:iCs/>
                <w:sz w:val="20"/>
                <w:szCs w:val="20"/>
              </w:rPr>
              <w:t xml:space="preserve"> employees including </w:t>
            </w:r>
            <w:r w:rsidR="00F04FF6" w:rsidRPr="006A78FB">
              <w:rPr>
                <w:rFonts w:ascii="Arial" w:hAnsi="Arial" w:cs="Arial"/>
                <w:bCs/>
                <w:iCs/>
                <w:sz w:val="20"/>
                <w:szCs w:val="20"/>
              </w:rPr>
              <w:t xml:space="preserve">2 SVP’s, 1 CFO, </w:t>
            </w:r>
            <w:r w:rsidR="00F62E04" w:rsidRPr="006A78FB">
              <w:rPr>
                <w:rFonts w:ascii="Arial" w:hAnsi="Arial" w:cs="Arial"/>
                <w:bCs/>
                <w:iCs/>
                <w:sz w:val="20"/>
                <w:szCs w:val="20"/>
              </w:rPr>
              <w:t xml:space="preserve">several architects, interior designers, and administrators. </w:t>
            </w:r>
          </w:p>
          <w:p w14:paraId="049394DD" w14:textId="4B02F738"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Seller Tra</w:t>
            </w:r>
            <w:r w:rsidR="006A78FB" w:rsidRPr="006A78FB">
              <w:rPr>
                <w:rFonts w:ascii="Arial" w:hAnsi="Arial" w:cs="Arial"/>
                <w:b/>
                <w:iCs/>
                <w:sz w:val="20"/>
                <w:szCs w:val="20"/>
              </w:rPr>
              <w:t>nsition</w:t>
            </w:r>
            <w:r w:rsidRPr="006A78FB">
              <w:rPr>
                <w:rFonts w:ascii="Arial" w:hAnsi="Arial" w:cs="Arial"/>
                <w:b/>
                <w:iCs/>
                <w:sz w:val="20"/>
                <w:szCs w:val="20"/>
              </w:rPr>
              <w:t xml:space="preserve"> Period</w:t>
            </w:r>
            <w:r w:rsidRPr="006A78FB">
              <w:rPr>
                <w:rFonts w:ascii="Arial" w:hAnsi="Arial" w:cs="Arial"/>
                <w:bCs/>
                <w:iCs/>
                <w:sz w:val="20"/>
                <w:szCs w:val="20"/>
              </w:rPr>
              <w:t xml:space="preserve">: </w:t>
            </w:r>
            <w:r w:rsidR="006A78FB" w:rsidRPr="006A78FB">
              <w:rPr>
                <w:rFonts w:ascii="Arial" w:hAnsi="Arial" w:cs="Arial"/>
                <w:bCs/>
                <w:iCs/>
                <w:sz w:val="20"/>
                <w:szCs w:val="20"/>
              </w:rPr>
              <w:t>Up to 5</w:t>
            </w:r>
            <w:r w:rsidR="002B1A9C" w:rsidRPr="006A78FB">
              <w:rPr>
                <w:rFonts w:ascii="Arial" w:hAnsi="Arial" w:cs="Arial"/>
                <w:bCs/>
                <w:iCs/>
                <w:sz w:val="20"/>
                <w:szCs w:val="20"/>
              </w:rPr>
              <w:t xml:space="preserve"> years</w:t>
            </w:r>
            <w:r w:rsidR="007A52C1" w:rsidRPr="006A78FB">
              <w:rPr>
                <w:rFonts w:ascii="Arial" w:hAnsi="Arial" w:cs="Arial"/>
                <w:bCs/>
                <w:iCs/>
                <w:sz w:val="20"/>
                <w:szCs w:val="20"/>
              </w:rPr>
              <w:t xml:space="preserve"> </w:t>
            </w:r>
          </w:p>
          <w:p w14:paraId="2CC2886D" w14:textId="1284396A" w:rsidR="00580B36" w:rsidRPr="006A78FB" w:rsidRDefault="00580B36" w:rsidP="006A78FB">
            <w:pPr>
              <w:pStyle w:val="ListParagraph"/>
              <w:numPr>
                <w:ilvl w:val="0"/>
                <w:numId w:val="1"/>
              </w:numPr>
              <w:tabs>
                <w:tab w:val="left" w:pos="7920"/>
              </w:tabs>
              <w:spacing w:before="120" w:line="276" w:lineRule="auto"/>
              <w:rPr>
                <w:rFonts w:ascii="Arial" w:hAnsi="Arial" w:cs="Arial"/>
                <w:bCs/>
                <w:iCs/>
                <w:sz w:val="20"/>
                <w:szCs w:val="20"/>
              </w:rPr>
            </w:pPr>
            <w:r w:rsidRPr="006A78FB">
              <w:rPr>
                <w:rFonts w:ascii="Arial" w:hAnsi="Arial" w:cs="Arial"/>
                <w:b/>
                <w:iCs/>
                <w:sz w:val="20"/>
                <w:szCs w:val="20"/>
              </w:rPr>
              <w:t>Growth Opportunities</w:t>
            </w:r>
            <w:r w:rsidRPr="006A78FB">
              <w:rPr>
                <w:rFonts w:ascii="Arial" w:hAnsi="Arial" w:cs="Arial"/>
                <w:bCs/>
                <w:iCs/>
                <w:sz w:val="20"/>
                <w:szCs w:val="20"/>
              </w:rPr>
              <w:t xml:space="preserve">: </w:t>
            </w:r>
            <w:r w:rsidR="00A43E5E" w:rsidRPr="006A78FB">
              <w:rPr>
                <w:rFonts w:ascii="Arial" w:hAnsi="Arial" w:cs="Arial"/>
                <w:bCs/>
                <w:iCs/>
                <w:sz w:val="20"/>
                <w:szCs w:val="20"/>
              </w:rPr>
              <w:t xml:space="preserve">With their current resources, a viable growth opportunity would include expanding </w:t>
            </w:r>
            <w:r w:rsidR="002856AE" w:rsidRPr="006A78FB">
              <w:rPr>
                <w:rFonts w:ascii="Arial" w:hAnsi="Arial" w:cs="Arial"/>
                <w:bCs/>
                <w:iCs/>
                <w:sz w:val="20"/>
                <w:szCs w:val="20"/>
              </w:rPr>
              <w:t xml:space="preserve">into the </w:t>
            </w:r>
            <w:r w:rsidR="00A43E5E" w:rsidRPr="006A78FB">
              <w:rPr>
                <w:rFonts w:ascii="Arial" w:hAnsi="Arial" w:cs="Arial"/>
                <w:bCs/>
                <w:iCs/>
                <w:sz w:val="20"/>
                <w:szCs w:val="20"/>
              </w:rPr>
              <w:t>hospital</w:t>
            </w:r>
            <w:r w:rsidR="002856AE" w:rsidRPr="006A78FB">
              <w:rPr>
                <w:rFonts w:ascii="Arial" w:hAnsi="Arial" w:cs="Arial"/>
                <w:bCs/>
                <w:iCs/>
                <w:sz w:val="20"/>
                <w:szCs w:val="20"/>
              </w:rPr>
              <w:t xml:space="preserve"> client pool. </w:t>
            </w:r>
          </w:p>
          <w:p w14:paraId="4398EF34" w14:textId="44B2E12C" w:rsidR="00E15508" w:rsidRPr="00F04FF6" w:rsidRDefault="00580B36" w:rsidP="006A78FB">
            <w:pPr>
              <w:pStyle w:val="ListParagraph"/>
              <w:numPr>
                <w:ilvl w:val="0"/>
                <w:numId w:val="1"/>
              </w:numPr>
              <w:tabs>
                <w:tab w:val="left" w:pos="7920"/>
              </w:tabs>
              <w:spacing w:before="120" w:line="276" w:lineRule="auto"/>
              <w:rPr>
                <w:rFonts w:ascii="Arial" w:hAnsi="Arial" w:cs="Arial"/>
                <w:bCs/>
                <w:iCs/>
                <w:sz w:val="19"/>
                <w:szCs w:val="19"/>
              </w:rPr>
            </w:pPr>
            <w:r w:rsidRPr="006A78FB">
              <w:rPr>
                <w:rFonts w:ascii="Arial" w:hAnsi="Arial" w:cs="Arial"/>
                <w:b/>
                <w:iCs/>
                <w:sz w:val="20"/>
                <w:szCs w:val="20"/>
              </w:rPr>
              <w:t>Current Owne</w:t>
            </w:r>
            <w:r w:rsidR="002B1A9C" w:rsidRPr="006A78FB">
              <w:rPr>
                <w:rFonts w:ascii="Arial" w:hAnsi="Arial" w:cs="Arial"/>
                <w:b/>
                <w:iCs/>
                <w:sz w:val="20"/>
                <w:szCs w:val="20"/>
              </w:rPr>
              <w:t>r</w:t>
            </w:r>
            <w:r w:rsidRPr="006A78FB">
              <w:rPr>
                <w:rFonts w:ascii="Arial" w:hAnsi="Arial" w:cs="Arial"/>
                <w:b/>
                <w:iCs/>
                <w:sz w:val="20"/>
                <w:szCs w:val="20"/>
              </w:rPr>
              <w:t xml:space="preserve"> Responsibilities</w:t>
            </w:r>
            <w:r w:rsidRPr="006A78FB">
              <w:rPr>
                <w:rFonts w:ascii="Arial" w:hAnsi="Arial" w:cs="Arial"/>
                <w:bCs/>
                <w:iCs/>
                <w:sz w:val="20"/>
                <w:szCs w:val="20"/>
              </w:rPr>
              <w:t xml:space="preserve">: </w:t>
            </w:r>
            <w:bookmarkEnd w:id="0"/>
            <w:r w:rsidR="006A78FB" w:rsidRPr="006A78FB">
              <w:rPr>
                <w:rFonts w:ascii="Arial" w:hAnsi="Arial" w:cs="Arial"/>
                <w:bCs/>
                <w:iCs/>
                <w:sz w:val="20"/>
                <w:szCs w:val="20"/>
              </w:rPr>
              <w:t>Oversight</w:t>
            </w:r>
          </w:p>
        </w:tc>
        <w:tc>
          <w:tcPr>
            <w:tcW w:w="36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70729D">
        <w:trPr>
          <w:trHeight w:val="342"/>
        </w:trPr>
        <w:tc>
          <w:tcPr>
            <w:tcW w:w="10710" w:type="dxa"/>
            <w:gridSpan w:val="3"/>
          </w:tcPr>
          <w:p w14:paraId="65393F44" w14:textId="4062E6E4"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2454D6">
              <w:rPr>
                <w:rFonts w:ascii="Arial" w:hAnsi="Arial" w:cs="Arial"/>
                <w:b/>
                <w:i/>
                <w:color w:val="55274E"/>
                <w:sz w:val="28"/>
                <w:szCs w:val="20"/>
              </w:rPr>
              <w:t xml:space="preserve">  </w:t>
            </w: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2C77B9">
              <w:rPr>
                <w:rFonts w:ascii="Arial" w:hAnsi="Arial" w:cs="Arial"/>
                <w:color w:val="7F7F7F" w:themeColor="text1" w:themeTint="80"/>
                <w:sz w:val="13"/>
                <w:szCs w:val="13"/>
              </w:rPr>
              <w:t>JB 9.14</w:t>
            </w:r>
            <w:r w:rsidR="008D1395">
              <w:rPr>
                <w:rFonts w:ascii="Arial" w:hAnsi="Arial" w:cs="Arial"/>
                <w:color w:val="7F7F7F" w:themeColor="text1" w:themeTint="80"/>
                <w:sz w:val="13"/>
                <w:szCs w:val="13"/>
              </w:rPr>
              <w:t>.2022.</w:t>
            </w:r>
            <w:r w:rsidR="0002727A">
              <w:rPr>
                <w:rFonts w:ascii="Arial" w:hAnsi="Arial" w:cs="Arial"/>
                <w:color w:val="7F7F7F" w:themeColor="text1" w:themeTint="80"/>
                <w:sz w:val="13"/>
                <w:szCs w:val="13"/>
              </w:rPr>
              <w:t xml:space="preserve"> </w:t>
            </w:r>
          </w:p>
        </w:tc>
      </w:tr>
      <w:tr w:rsidR="001574A5" w14:paraId="3CD2810C" w14:textId="77777777" w:rsidTr="0070729D">
        <w:tc>
          <w:tcPr>
            <w:tcW w:w="1071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43C06F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385397">
    <w:abstractNumId w:val="0"/>
  </w:num>
  <w:num w:numId="2" w16cid:durableId="1341471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1027"/>
    <w:rsid w:val="000222A0"/>
    <w:rsid w:val="00025A03"/>
    <w:rsid w:val="0002727A"/>
    <w:rsid w:val="000428DA"/>
    <w:rsid w:val="00043F01"/>
    <w:rsid w:val="0005107D"/>
    <w:rsid w:val="00054398"/>
    <w:rsid w:val="00056E61"/>
    <w:rsid w:val="0008040B"/>
    <w:rsid w:val="0008094D"/>
    <w:rsid w:val="0008340A"/>
    <w:rsid w:val="000A57AF"/>
    <w:rsid w:val="000B2E0D"/>
    <w:rsid w:val="000B3D89"/>
    <w:rsid w:val="000B58EB"/>
    <w:rsid w:val="000B6153"/>
    <w:rsid w:val="000B6D15"/>
    <w:rsid w:val="000C360F"/>
    <w:rsid w:val="000C5EF2"/>
    <w:rsid w:val="000E5C9F"/>
    <w:rsid w:val="000F2A8B"/>
    <w:rsid w:val="0010301E"/>
    <w:rsid w:val="00127EE4"/>
    <w:rsid w:val="00141010"/>
    <w:rsid w:val="00146BBE"/>
    <w:rsid w:val="001574A5"/>
    <w:rsid w:val="00186964"/>
    <w:rsid w:val="001A496B"/>
    <w:rsid w:val="001B7705"/>
    <w:rsid w:val="001D4468"/>
    <w:rsid w:val="001F3977"/>
    <w:rsid w:val="001F786F"/>
    <w:rsid w:val="0021147B"/>
    <w:rsid w:val="00226630"/>
    <w:rsid w:val="002273F2"/>
    <w:rsid w:val="002353A3"/>
    <w:rsid w:val="00241C4A"/>
    <w:rsid w:val="002450C4"/>
    <w:rsid w:val="002454D6"/>
    <w:rsid w:val="00251EB3"/>
    <w:rsid w:val="00264766"/>
    <w:rsid w:val="002657D4"/>
    <w:rsid w:val="0027046A"/>
    <w:rsid w:val="002736E0"/>
    <w:rsid w:val="002856AE"/>
    <w:rsid w:val="00297B6B"/>
    <w:rsid w:val="002A0F18"/>
    <w:rsid w:val="002A6251"/>
    <w:rsid w:val="002B1A9C"/>
    <w:rsid w:val="002B667B"/>
    <w:rsid w:val="002C77B9"/>
    <w:rsid w:val="002D05BD"/>
    <w:rsid w:val="002D19EF"/>
    <w:rsid w:val="002D58A9"/>
    <w:rsid w:val="002E2993"/>
    <w:rsid w:val="002E2C4A"/>
    <w:rsid w:val="002F3D05"/>
    <w:rsid w:val="0030250C"/>
    <w:rsid w:val="00320C48"/>
    <w:rsid w:val="00323505"/>
    <w:rsid w:val="0034300A"/>
    <w:rsid w:val="0036070A"/>
    <w:rsid w:val="00364796"/>
    <w:rsid w:val="003C0D4D"/>
    <w:rsid w:val="003C763B"/>
    <w:rsid w:val="003E7C8A"/>
    <w:rsid w:val="0040478E"/>
    <w:rsid w:val="00441D8F"/>
    <w:rsid w:val="00442346"/>
    <w:rsid w:val="00445B16"/>
    <w:rsid w:val="00477906"/>
    <w:rsid w:val="0048332C"/>
    <w:rsid w:val="00484906"/>
    <w:rsid w:val="004920E7"/>
    <w:rsid w:val="004938B9"/>
    <w:rsid w:val="004B22C2"/>
    <w:rsid w:val="004D2145"/>
    <w:rsid w:val="004D6836"/>
    <w:rsid w:val="004E0E34"/>
    <w:rsid w:val="004E4EBE"/>
    <w:rsid w:val="004F1199"/>
    <w:rsid w:val="00501EC6"/>
    <w:rsid w:val="005032DF"/>
    <w:rsid w:val="005141C4"/>
    <w:rsid w:val="00516872"/>
    <w:rsid w:val="0052174A"/>
    <w:rsid w:val="005246EA"/>
    <w:rsid w:val="00557686"/>
    <w:rsid w:val="00564667"/>
    <w:rsid w:val="00580B36"/>
    <w:rsid w:val="00586651"/>
    <w:rsid w:val="00590C3E"/>
    <w:rsid w:val="005921C8"/>
    <w:rsid w:val="00596E4D"/>
    <w:rsid w:val="00597664"/>
    <w:rsid w:val="005C43C7"/>
    <w:rsid w:val="005C6BC4"/>
    <w:rsid w:val="005C7AEB"/>
    <w:rsid w:val="005D61D5"/>
    <w:rsid w:val="005F13E1"/>
    <w:rsid w:val="006019DD"/>
    <w:rsid w:val="00602C33"/>
    <w:rsid w:val="0060484F"/>
    <w:rsid w:val="00610C33"/>
    <w:rsid w:val="006149B0"/>
    <w:rsid w:val="006153DF"/>
    <w:rsid w:val="0062387C"/>
    <w:rsid w:val="006362DF"/>
    <w:rsid w:val="006562BE"/>
    <w:rsid w:val="006625F8"/>
    <w:rsid w:val="00685B05"/>
    <w:rsid w:val="00687BDE"/>
    <w:rsid w:val="00697D51"/>
    <w:rsid w:val="006A7647"/>
    <w:rsid w:val="006A78FB"/>
    <w:rsid w:val="006B4AFF"/>
    <w:rsid w:val="006C2E70"/>
    <w:rsid w:val="006C6FDF"/>
    <w:rsid w:val="006D4092"/>
    <w:rsid w:val="006E0EE5"/>
    <w:rsid w:val="006F0A4E"/>
    <w:rsid w:val="0070729D"/>
    <w:rsid w:val="00730FEF"/>
    <w:rsid w:val="00741293"/>
    <w:rsid w:val="00767025"/>
    <w:rsid w:val="00772E20"/>
    <w:rsid w:val="007824E3"/>
    <w:rsid w:val="00786085"/>
    <w:rsid w:val="00787207"/>
    <w:rsid w:val="007A37BE"/>
    <w:rsid w:val="007A52C1"/>
    <w:rsid w:val="007A5F58"/>
    <w:rsid w:val="007B185C"/>
    <w:rsid w:val="007B2055"/>
    <w:rsid w:val="007C1A05"/>
    <w:rsid w:val="007C2519"/>
    <w:rsid w:val="007D7C70"/>
    <w:rsid w:val="007F19E4"/>
    <w:rsid w:val="007F28C0"/>
    <w:rsid w:val="007F4275"/>
    <w:rsid w:val="00817319"/>
    <w:rsid w:val="0082091A"/>
    <w:rsid w:val="00835068"/>
    <w:rsid w:val="00835E9E"/>
    <w:rsid w:val="008404F6"/>
    <w:rsid w:val="00855ADE"/>
    <w:rsid w:val="00863C07"/>
    <w:rsid w:val="00864236"/>
    <w:rsid w:val="00874E76"/>
    <w:rsid w:val="008A1FCA"/>
    <w:rsid w:val="008A361F"/>
    <w:rsid w:val="008A42EF"/>
    <w:rsid w:val="008B50C4"/>
    <w:rsid w:val="008C4B63"/>
    <w:rsid w:val="008D1395"/>
    <w:rsid w:val="008D6ED5"/>
    <w:rsid w:val="008E7BD5"/>
    <w:rsid w:val="00905BBF"/>
    <w:rsid w:val="00911DC6"/>
    <w:rsid w:val="009145BC"/>
    <w:rsid w:val="00914F1A"/>
    <w:rsid w:val="009167B7"/>
    <w:rsid w:val="00931197"/>
    <w:rsid w:val="0094449F"/>
    <w:rsid w:val="00955485"/>
    <w:rsid w:val="00956056"/>
    <w:rsid w:val="0096047B"/>
    <w:rsid w:val="009702C1"/>
    <w:rsid w:val="00985ECC"/>
    <w:rsid w:val="009B4FA4"/>
    <w:rsid w:val="009B5ACC"/>
    <w:rsid w:val="009C50A8"/>
    <w:rsid w:val="009D3C12"/>
    <w:rsid w:val="009E34FE"/>
    <w:rsid w:val="00A31752"/>
    <w:rsid w:val="00A32911"/>
    <w:rsid w:val="00A43E5E"/>
    <w:rsid w:val="00A53E50"/>
    <w:rsid w:val="00A64715"/>
    <w:rsid w:val="00A76DFA"/>
    <w:rsid w:val="00A8394F"/>
    <w:rsid w:val="00A85072"/>
    <w:rsid w:val="00AC1FFE"/>
    <w:rsid w:val="00AD4AE3"/>
    <w:rsid w:val="00AD6F70"/>
    <w:rsid w:val="00B05726"/>
    <w:rsid w:val="00B12AA6"/>
    <w:rsid w:val="00B15AE6"/>
    <w:rsid w:val="00B163BF"/>
    <w:rsid w:val="00B266B1"/>
    <w:rsid w:val="00B34534"/>
    <w:rsid w:val="00B42A48"/>
    <w:rsid w:val="00B5442D"/>
    <w:rsid w:val="00B73992"/>
    <w:rsid w:val="00B83925"/>
    <w:rsid w:val="00B87F86"/>
    <w:rsid w:val="00B94173"/>
    <w:rsid w:val="00B95503"/>
    <w:rsid w:val="00B95D26"/>
    <w:rsid w:val="00BA18A5"/>
    <w:rsid w:val="00BC2C8B"/>
    <w:rsid w:val="00BC6EA1"/>
    <w:rsid w:val="00BD0541"/>
    <w:rsid w:val="00BF6CFA"/>
    <w:rsid w:val="00BF7A39"/>
    <w:rsid w:val="00C12FD0"/>
    <w:rsid w:val="00C21D38"/>
    <w:rsid w:val="00C270AD"/>
    <w:rsid w:val="00C36BFF"/>
    <w:rsid w:val="00C60080"/>
    <w:rsid w:val="00C707B4"/>
    <w:rsid w:val="00C9006D"/>
    <w:rsid w:val="00C93935"/>
    <w:rsid w:val="00C94495"/>
    <w:rsid w:val="00CA53FE"/>
    <w:rsid w:val="00CB432E"/>
    <w:rsid w:val="00CB4518"/>
    <w:rsid w:val="00CB7422"/>
    <w:rsid w:val="00CC144D"/>
    <w:rsid w:val="00CC3640"/>
    <w:rsid w:val="00CC5683"/>
    <w:rsid w:val="00CD09DC"/>
    <w:rsid w:val="00CD4DAD"/>
    <w:rsid w:val="00CE4CC3"/>
    <w:rsid w:val="00CE4EC8"/>
    <w:rsid w:val="00CE7FC4"/>
    <w:rsid w:val="00CF2C63"/>
    <w:rsid w:val="00CF7500"/>
    <w:rsid w:val="00D23533"/>
    <w:rsid w:val="00D278A9"/>
    <w:rsid w:val="00D507B3"/>
    <w:rsid w:val="00D53B05"/>
    <w:rsid w:val="00D65061"/>
    <w:rsid w:val="00D801D2"/>
    <w:rsid w:val="00D81A23"/>
    <w:rsid w:val="00D81A31"/>
    <w:rsid w:val="00D90FF5"/>
    <w:rsid w:val="00D9226A"/>
    <w:rsid w:val="00D93E3D"/>
    <w:rsid w:val="00DA0CA9"/>
    <w:rsid w:val="00DE206D"/>
    <w:rsid w:val="00DE6FBD"/>
    <w:rsid w:val="00DF76D5"/>
    <w:rsid w:val="00E15508"/>
    <w:rsid w:val="00E1625F"/>
    <w:rsid w:val="00E466A2"/>
    <w:rsid w:val="00E47A62"/>
    <w:rsid w:val="00E5377F"/>
    <w:rsid w:val="00E54E9D"/>
    <w:rsid w:val="00E57D8A"/>
    <w:rsid w:val="00E62EFE"/>
    <w:rsid w:val="00E65DE6"/>
    <w:rsid w:val="00E67579"/>
    <w:rsid w:val="00E73FEA"/>
    <w:rsid w:val="00E82987"/>
    <w:rsid w:val="00EC05D5"/>
    <w:rsid w:val="00ED063B"/>
    <w:rsid w:val="00ED52FA"/>
    <w:rsid w:val="00EE2E77"/>
    <w:rsid w:val="00EE5069"/>
    <w:rsid w:val="00F0467C"/>
    <w:rsid w:val="00F04FF6"/>
    <w:rsid w:val="00F25872"/>
    <w:rsid w:val="00F33AB4"/>
    <w:rsid w:val="00F34561"/>
    <w:rsid w:val="00F4497D"/>
    <w:rsid w:val="00F5387D"/>
    <w:rsid w:val="00F62E04"/>
    <w:rsid w:val="00F750EA"/>
    <w:rsid w:val="00FA1790"/>
    <w:rsid w:val="00FA7473"/>
    <w:rsid w:val="00FC0B0C"/>
    <w:rsid w:val="00FC275D"/>
    <w:rsid w:val="00FD6C13"/>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E1A7-19DF-42B8-B8FC-9EC4DDC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3</cp:revision>
  <cp:lastPrinted>2022-05-24T14:56:00Z</cp:lastPrinted>
  <dcterms:created xsi:type="dcterms:W3CDTF">2022-09-14T13:46:00Z</dcterms:created>
  <dcterms:modified xsi:type="dcterms:W3CDTF">2022-09-14T14:31:00Z</dcterms:modified>
</cp:coreProperties>
</file>